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59" w:rsidRDefault="008E2359">
      <w:pPr>
        <w:rPr>
          <w:sz w:val="20"/>
        </w:rPr>
      </w:pPr>
    </w:p>
    <w:p w:rsidR="008E2359" w:rsidRDefault="008E2359">
      <w:pPr>
        <w:spacing w:before="8" w:after="1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900B6"/>
          <w:left w:val="single" w:sz="4" w:space="0" w:color="0900B6"/>
          <w:bottom w:val="single" w:sz="4" w:space="0" w:color="0900B6"/>
          <w:right w:val="single" w:sz="4" w:space="0" w:color="0900B6"/>
          <w:insideH w:val="single" w:sz="4" w:space="0" w:color="0900B6"/>
          <w:insideV w:val="single" w:sz="4" w:space="0" w:color="0900B6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74"/>
        <w:gridCol w:w="1973"/>
        <w:gridCol w:w="1973"/>
        <w:gridCol w:w="1973"/>
        <w:gridCol w:w="1974"/>
        <w:gridCol w:w="1973"/>
      </w:tblGrid>
      <w:tr w:rsidR="008E2359">
        <w:trPr>
          <w:trHeight w:val="998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spacing w:before="84"/>
              <w:ind w:left="120"/>
              <w:rPr>
                <w:b/>
                <w:sz w:val="18"/>
              </w:rPr>
            </w:pPr>
            <w:bookmarkStart w:id="0" w:name="_Hlk33772405"/>
            <w:r>
              <w:rPr>
                <w:b/>
                <w:color w:val="FFC700"/>
                <w:sz w:val="18"/>
              </w:rPr>
              <w:t>VERWERKING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spacing w:before="84"/>
              <w:ind w:left="117"/>
              <w:rPr>
                <w:b/>
                <w:sz w:val="18"/>
              </w:rPr>
            </w:pPr>
            <w:r>
              <w:rPr>
                <w:b/>
                <w:color w:val="FFC700"/>
                <w:sz w:val="18"/>
              </w:rPr>
              <w:t>BRON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spacing w:before="84"/>
              <w:ind w:left="116"/>
              <w:rPr>
                <w:b/>
                <w:sz w:val="18"/>
              </w:rPr>
            </w:pPr>
            <w:r>
              <w:rPr>
                <w:b/>
                <w:color w:val="FFC700"/>
                <w:sz w:val="18"/>
              </w:rPr>
              <w:t>DOEL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spacing w:before="84"/>
              <w:ind w:left="116" w:right="206"/>
              <w:rPr>
                <w:b/>
                <w:sz w:val="18"/>
              </w:rPr>
            </w:pPr>
            <w:r>
              <w:rPr>
                <w:b/>
                <w:color w:val="FFC700"/>
                <w:sz w:val="18"/>
              </w:rPr>
              <w:t>RECHTSGRONDSL AG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spacing w:before="84"/>
              <w:ind w:left="116"/>
              <w:rPr>
                <w:b/>
                <w:sz w:val="18"/>
              </w:rPr>
            </w:pPr>
            <w:r>
              <w:rPr>
                <w:b/>
                <w:color w:val="FFC700"/>
                <w:sz w:val="18"/>
              </w:rPr>
              <w:t>DETAILS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spacing w:before="84"/>
              <w:ind w:left="118" w:right="115"/>
              <w:rPr>
                <w:b/>
                <w:sz w:val="18"/>
              </w:rPr>
            </w:pPr>
            <w:r>
              <w:rPr>
                <w:b/>
                <w:color w:val="FFC700"/>
                <w:sz w:val="18"/>
              </w:rPr>
              <w:t xml:space="preserve">CATEGORIEËN VAN </w:t>
            </w:r>
            <w:r>
              <w:rPr>
                <w:b/>
                <w:color w:val="FFC700"/>
                <w:spacing w:val="-1"/>
                <w:sz w:val="18"/>
              </w:rPr>
              <w:t xml:space="preserve">PERSOONSGEGEVE </w:t>
            </w:r>
            <w:r>
              <w:rPr>
                <w:b/>
                <w:color w:val="FFC700"/>
                <w:sz w:val="18"/>
              </w:rPr>
              <w:t>NS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0900B6"/>
          </w:tcPr>
          <w:p w:rsidR="008E2359" w:rsidRDefault="00826CCF">
            <w:pPr>
              <w:pStyle w:val="TableParagraph"/>
              <w:tabs>
                <w:tab w:val="left" w:pos="1812"/>
              </w:tabs>
              <w:spacing w:before="84"/>
              <w:ind w:left="118" w:right="108"/>
              <w:rPr>
                <w:b/>
                <w:sz w:val="18"/>
              </w:rPr>
            </w:pPr>
            <w:r>
              <w:rPr>
                <w:b/>
                <w:color w:val="FFC700"/>
                <w:sz w:val="18"/>
              </w:rPr>
              <w:t>MACHTIGING</w:t>
            </w:r>
            <w:r>
              <w:rPr>
                <w:b/>
                <w:color w:val="FFC700"/>
                <w:sz w:val="18"/>
              </w:rPr>
              <w:tab/>
            </w:r>
            <w:r>
              <w:rPr>
                <w:b/>
                <w:color w:val="FFC700"/>
                <w:spacing w:val="-17"/>
                <w:sz w:val="18"/>
              </w:rPr>
              <w:t xml:space="preserve">/ </w:t>
            </w:r>
            <w:r>
              <w:rPr>
                <w:b/>
                <w:color w:val="FFC700"/>
                <w:sz w:val="18"/>
              </w:rPr>
              <w:t>PROTOCOL</w:t>
            </w:r>
          </w:p>
        </w:tc>
      </w:tr>
      <w:tr w:rsidR="008E2359">
        <w:trPr>
          <w:trHeight w:val="1368"/>
        </w:trPr>
        <w:tc>
          <w:tcPr>
            <w:tcW w:w="1976" w:type="dxa"/>
            <w:tcBorders>
              <w:bottom w:val="nil"/>
            </w:tcBorders>
          </w:tcPr>
          <w:p w:rsidR="008E2359" w:rsidRDefault="00826CCF">
            <w:pPr>
              <w:pStyle w:val="TableParagraph"/>
              <w:tabs>
                <w:tab w:val="left" w:pos="1069"/>
                <w:tab w:val="left" w:pos="1676"/>
              </w:tabs>
              <w:spacing w:before="82"/>
              <w:ind w:left="115" w:right="104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8"/>
                <w:sz w:val="14"/>
              </w:rPr>
              <w:t xml:space="preserve">het </w:t>
            </w:r>
            <w:r>
              <w:rPr>
                <w:b/>
                <w:color w:val="0900B6"/>
                <w:sz w:val="14"/>
              </w:rPr>
              <w:t>Rijksregister</w:t>
            </w:r>
          </w:p>
        </w:tc>
        <w:tc>
          <w:tcPr>
            <w:tcW w:w="1974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0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Rijksregister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spacing w:before="24"/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Binnenlandse Zaken)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tabs>
                <w:tab w:val="left" w:pos="1143"/>
                <w:tab w:val="left" w:pos="1723"/>
              </w:tabs>
              <w:spacing w:before="80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>Vestiging, controle, inning en invordering</w:t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gewestbelastingen verschuldigd aan het Brussels Hoofdstedelijk</w:t>
            </w:r>
            <w:r>
              <w:rPr>
                <w:color w:val="0900B6"/>
                <w:spacing w:val="-1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Gewest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0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</w:t>
            </w:r>
            <w:r>
              <w:rPr>
                <w:color w:val="0900B6"/>
                <w:sz w:val="14"/>
              </w:rPr>
              <w:t>ssel Fiscaliteit (artikel 2,  1° en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2°)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0" w:line="276" w:lineRule="auto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het Rijksregister voor alle gewestbelastingen waarvoor het verantwoordelijk is</w:t>
            </w:r>
          </w:p>
        </w:tc>
        <w:tc>
          <w:tcPr>
            <w:tcW w:w="1974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0" w:line="554" w:lineRule="auto"/>
              <w:ind w:left="113" w:right="474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Persoonlijke kenmerken Gezinssamenstelling</w:t>
            </w:r>
          </w:p>
          <w:p w:rsidR="008E2359" w:rsidRDefault="00826CCF">
            <w:pPr>
              <w:pStyle w:val="TableParagraph"/>
              <w:tabs>
                <w:tab w:val="left" w:pos="849"/>
                <w:tab w:val="left" w:pos="1610"/>
              </w:tabs>
              <w:spacing w:line="152" w:lineRule="exact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Justitiële</w:t>
            </w:r>
            <w:r>
              <w:rPr>
                <w:color w:val="0900B6"/>
                <w:sz w:val="14"/>
              </w:rPr>
              <w:tab/>
              <w:t>ge</w:t>
            </w:r>
            <w:r>
              <w:rPr>
                <w:color w:val="0900B6"/>
                <w:sz w:val="14"/>
              </w:rPr>
              <w:t>gevens</w:t>
            </w:r>
            <w:r>
              <w:rPr>
                <w:color w:val="0900B6"/>
                <w:sz w:val="14"/>
              </w:rPr>
              <w:tab/>
              <w:t>over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0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Koninklijk Besluit van 13 november 1995</w:t>
            </w:r>
          </w:p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  <w:p w:rsidR="008E2359" w:rsidRDefault="00826CCF">
            <w:pPr>
              <w:pStyle w:val="TableParagraph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Beraadslaging RR nr. 87/2014 van 29 oktober 2014</w:t>
            </w:r>
          </w:p>
        </w:tc>
      </w:tr>
      <w:tr w:rsidR="008E2359">
        <w:trPr>
          <w:trHeight w:val="184"/>
        </w:trPr>
        <w:tc>
          <w:tcPr>
            <w:tcW w:w="1976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8E2359" w:rsidRDefault="00826CCF">
            <w:pPr>
              <w:pStyle w:val="TableParagraph"/>
              <w:tabs>
                <w:tab w:val="left" w:pos="1176"/>
              </w:tabs>
              <w:spacing w:before="8" w:line="156" w:lineRule="exact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gerechtelijke</w:t>
            </w:r>
            <w:r>
              <w:rPr>
                <w:color w:val="0900B6"/>
                <w:sz w:val="14"/>
              </w:rPr>
              <w:tab/>
              <w:t>maatregelen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</w:tr>
      <w:tr w:rsidR="008E2359">
        <w:trPr>
          <w:trHeight w:val="278"/>
        </w:trPr>
        <w:tc>
          <w:tcPr>
            <w:tcW w:w="1976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8E2359" w:rsidRDefault="00826CCF">
            <w:pPr>
              <w:pStyle w:val="TableParagraph"/>
              <w:spacing w:before="8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(voogdij, voorlopig bewind)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</w:tr>
      <w:tr w:rsidR="008E2359">
        <w:trPr>
          <w:trHeight w:val="374"/>
        </w:trPr>
        <w:tc>
          <w:tcPr>
            <w:tcW w:w="1976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102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Rijksregisternummer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</w:tr>
      <w:tr w:rsidR="008E2359">
        <w:trPr>
          <w:trHeight w:val="1614"/>
        </w:trPr>
        <w:tc>
          <w:tcPr>
            <w:tcW w:w="1976" w:type="dxa"/>
            <w:tcBorders>
              <w:bottom w:val="nil"/>
            </w:tcBorders>
          </w:tcPr>
          <w:p w:rsidR="008E2359" w:rsidRDefault="00826CCF">
            <w:pPr>
              <w:pStyle w:val="TableParagraph"/>
              <w:tabs>
                <w:tab w:val="left" w:pos="1069"/>
                <w:tab w:val="left" w:pos="1676"/>
              </w:tabs>
              <w:spacing w:before="85"/>
              <w:ind w:left="115" w:right="104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8"/>
                <w:sz w:val="14"/>
              </w:rPr>
              <w:t xml:space="preserve">het </w:t>
            </w:r>
            <w:r>
              <w:rPr>
                <w:b/>
                <w:color w:val="0900B6"/>
                <w:sz w:val="14"/>
              </w:rPr>
              <w:t>Rijksregister</w:t>
            </w:r>
          </w:p>
        </w:tc>
        <w:tc>
          <w:tcPr>
            <w:tcW w:w="1974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Rijksregister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spacing w:before="25"/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Binnenlandse Zaken)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tabs>
                <w:tab w:val="left" w:pos="776"/>
                <w:tab w:val="left" w:pos="1025"/>
                <w:tab w:val="left" w:pos="1320"/>
              </w:tabs>
              <w:spacing w:before="82"/>
              <w:ind w:right="105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Invordering van niet-fiscale schuldvorderingen voor het Brussels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1"/>
                <w:sz w:val="14"/>
              </w:rPr>
              <w:t xml:space="preserve">Hoofdstedelijk </w:t>
            </w:r>
            <w:r>
              <w:rPr>
                <w:color w:val="0900B6"/>
                <w:sz w:val="14"/>
              </w:rPr>
              <w:t>Gewest en de instellingen die eronder ressorteren, alsook voor</w:t>
            </w:r>
            <w:r>
              <w:rPr>
                <w:color w:val="0900B6"/>
                <w:sz w:val="14"/>
              </w:rPr>
              <w:tab/>
              <w:t>de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3"/>
                <w:sz w:val="14"/>
              </w:rPr>
              <w:t xml:space="preserve">Brusselse </w:t>
            </w:r>
            <w:r>
              <w:rPr>
                <w:color w:val="0900B6"/>
                <w:sz w:val="14"/>
              </w:rPr>
              <w:t>agglomeratie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2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Brussel Fiscaliteit (artikel 2, 3°)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2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Brussel Fiscaliteit raadpleegt en gebruikt de gegevens van het rijksregister voor alle </w:t>
            </w:r>
            <w:r>
              <w:rPr>
                <w:color w:val="0900B6"/>
                <w:sz w:val="14"/>
              </w:rPr>
              <w:t>niet- fiscale schuldvorderingen waarvoor het verantwoordelijk is</w:t>
            </w:r>
          </w:p>
        </w:tc>
        <w:tc>
          <w:tcPr>
            <w:tcW w:w="1974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2" w:line="480" w:lineRule="auto"/>
              <w:ind w:left="113" w:right="474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Persoonlijke kenmerken Gezinssamenstelling</w:t>
            </w:r>
          </w:p>
          <w:p w:rsidR="008E2359" w:rsidRDefault="00826CCF">
            <w:pPr>
              <w:pStyle w:val="TableParagraph"/>
              <w:ind w:left="113" w:right="102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Justitiële gegevens over gerechtelijke maatregelen (voogdij, voorlopig bewind)</w:t>
            </w:r>
          </w:p>
        </w:tc>
        <w:tc>
          <w:tcPr>
            <w:tcW w:w="1973" w:type="dxa"/>
            <w:tcBorders>
              <w:bottom w:val="nil"/>
            </w:tcBorders>
          </w:tcPr>
          <w:p w:rsidR="008E2359" w:rsidRDefault="00826CCF">
            <w:pPr>
              <w:pStyle w:val="TableParagraph"/>
              <w:spacing w:before="82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Koninklijk Besluit van 13 november 1995</w:t>
            </w:r>
          </w:p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  <w:p w:rsidR="008E2359" w:rsidRDefault="00826CCF">
            <w:pPr>
              <w:pStyle w:val="TableParagraph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Beraad</w:t>
            </w:r>
            <w:r>
              <w:rPr>
                <w:color w:val="0900B6"/>
                <w:sz w:val="14"/>
              </w:rPr>
              <w:t>slaging RR nr. 87/2014 van 29 oktober 2014</w:t>
            </w:r>
          </w:p>
        </w:tc>
      </w:tr>
      <w:tr w:rsidR="008E2359">
        <w:trPr>
          <w:trHeight w:val="327"/>
        </w:trPr>
        <w:tc>
          <w:tcPr>
            <w:tcW w:w="1976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7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Rijksregisternummer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</w:tc>
      </w:tr>
      <w:tr w:rsidR="008E2359">
        <w:trPr>
          <w:trHeight w:val="2906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069"/>
                <w:tab w:val="left" w:pos="1676"/>
              </w:tabs>
              <w:spacing w:before="85"/>
              <w:ind w:left="115" w:right="104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8"/>
                <w:sz w:val="14"/>
              </w:rPr>
              <w:t xml:space="preserve">het </w:t>
            </w:r>
            <w:r>
              <w:rPr>
                <w:b/>
                <w:color w:val="0900B6"/>
                <w:sz w:val="14"/>
              </w:rPr>
              <w:t>Rijksregister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Rijksregister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Binnenlandse Zaken)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right="106"/>
              <w:rPr>
                <w:sz w:val="14"/>
              </w:rPr>
            </w:pPr>
            <w:r>
              <w:rPr>
                <w:color w:val="0900B6"/>
                <w:sz w:val="14"/>
              </w:rPr>
              <w:t>Toekenning van gewestelijke premies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right="103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Brussel Fiscaliteit (artikel 2, 15°)</w:t>
            </w:r>
          </w:p>
          <w:p w:rsidR="008C0412" w:rsidRPr="008C0412" w:rsidRDefault="008C0412">
            <w:pPr>
              <w:pStyle w:val="TableParagraph"/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 xml:space="preserve">Ordonnantie </w:t>
            </w:r>
            <w:r w:rsidRPr="008C0412">
              <w:rPr>
                <w:color w:val="FF0000"/>
                <w:sz w:val="14"/>
              </w:rPr>
              <w:t xml:space="preserve">van 23 november 2017 </w:t>
            </w:r>
            <w:r w:rsidRPr="008C0412">
              <w:rPr>
                <w:color w:val="FF0000"/>
                <w:sz w:val="14"/>
              </w:rPr>
              <w:t>houdende wetgevende aanpassingen met het oog op de overname van de dienst onroerende voorheffing door het Brussels Hoofdstedelijk Gewest</w:t>
            </w:r>
            <w:r w:rsidRPr="008C0412">
              <w:rPr>
                <w:color w:val="FF0000"/>
                <w:sz w:val="14"/>
              </w:rPr>
              <w:t>, artikelen 13 tot en met 17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790"/>
                <w:tab w:val="left" w:pos="1383"/>
              </w:tabs>
              <w:spacing w:before="82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het Rijksregister om de gewestelijke BE HOME- premie toe te kennen aan de eigenaars die hun eigendom in het Brussels Hoofdstedelijk Gewest bewonen</w:t>
            </w:r>
            <w:r>
              <w:rPr>
                <w:color w:val="0900B6"/>
                <w:sz w:val="14"/>
              </w:rPr>
              <w:t>.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82" w:line="480" w:lineRule="auto"/>
              <w:ind w:left="113" w:right="474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Persoonlijke kenmerken Gezinssamenstelling</w:t>
            </w:r>
          </w:p>
          <w:p w:rsidR="008E2359" w:rsidRDefault="00826CCF">
            <w:pPr>
              <w:pStyle w:val="TableParagraph"/>
              <w:ind w:left="113" w:right="102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Justitiële gegevens over gerechtelijke maatregelen (voogdij, voorlopig bewind)</w:t>
            </w:r>
          </w:p>
          <w:p w:rsidR="008E2359" w:rsidRDefault="008E2359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8E2359" w:rsidRDefault="00826CCF">
            <w:pPr>
              <w:pStyle w:val="TableParagraph"/>
              <w:spacing w:before="1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Rijksregisternummer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left="113"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Beraadslaging RR nr. 98/2016 van woensdag 21 december 2016</w:t>
            </w:r>
          </w:p>
        </w:tc>
      </w:tr>
      <w:tr w:rsidR="008C0412" w:rsidRPr="008C0412">
        <w:trPr>
          <w:trHeight w:val="2906"/>
        </w:trPr>
        <w:tc>
          <w:tcPr>
            <w:tcW w:w="1976" w:type="dxa"/>
          </w:tcPr>
          <w:p w:rsidR="008C0412" w:rsidRPr="008C0412" w:rsidRDefault="008C0412">
            <w:pPr>
              <w:pStyle w:val="TableParagraph"/>
              <w:tabs>
                <w:tab w:val="left" w:pos="1069"/>
                <w:tab w:val="left" w:pos="1676"/>
              </w:tabs>
              <w:spacing w:before="85"/>
              <w:ind w:left="115" w:right="104"/>
              <w:rPr>
                <w:b/>
                <w:color w:val="FF0000"/>
                <w:sz w:val="14"/>
              </w:rPr>
            </w:pPr>
            <w:r w:rsidRPr="008C0412">
              <w:rPr>
                <w:b/>
                <w:color w:val="FF0000"/>
                <w:sz w:val="14"/>
              </w:rPr>
              <w:lastRenderedPageBreak/>
              <w:t>Gegevens</w:t>
            </w:r>
            <w:r w:rsidRPr="008C0412">
              <w:rPr>
                <w:b/>
                <w:color w:val="FF0000"/>
                <w:sz w:val="14"/>
              </w:rPr>
              <w:tab/>
              <w:t>van</w:t>
            </w:r>
            <w:r w:rsidRPr="008C0412">
              <w:rPr>
                <w:b/>
                <w:color w:val="FF0000"/>
                <w:sz w:val="14"/>
              </w:rPr>
              <w:tab/>
            </w:r>
            <w:r w:rsidRPr="008C0412">
              <w:rPr>
                <w:b/>
                <w:color w:val="FF0000"/>
                <w:spacing w:val="-8"/>
                <w:sz w:val="14"/>
              </w:rPr>
              <w:t xml:space="preserve">het </w:t>
            </w:r>
            <w:r w:rsidRPr="008C0412">
              <w:rPr>
                <w:b/>
                <w:color w:val="FF0000"/>
                <w:sz w:val="14"/>
              </w:rPr>
              <w:t>Rijksregister</w:t>
            </w:r>
          </w:p>
        </w:tc>
        <w:tc>
          <w:tcPr>
            <w:tcW w:w="1974" w:type="dxa"/>
          </w:tcPr>
          <w:p w:rsidR="008C0412" w:rsidRPr="008C0412" w:rsidRDefault="008C0412" w:rsidP="008C0412">
            <w:pPr>
              <w:pStyle w:val="TableParagraph"/>
              <w:spacing w:before="82"/>
              <w:ind w:left="112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Rijksregister</w:t>
            </w:r>
          </w:p>
          <w:p w:rsidR="008C0412" w:rsidRPr="008C0412" w:rsidRDefault="008C0412" w:rsidP="008C0412">
            <w:pPr>
              <w:pStyle w:val="TableParagraph"/>
              <w:spacing w:before="82"/>
              <w:ind w:left="112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(Federale</w:t>
            </w:r>
            <w:r w:rsidRPr="008C0412">
              <w:rPr>
                <w:color w:val="FF0000"/>
                <w:sz w:val="14"/>
              </w:rPr>
              <w:tab/>
            </w:r>
            <w:r w:rsidRPr="008C0412">
              <w:rPr>
                <w:color w:val="FF0000"/>
                <w:w w:val="95"/>
                <w:sz w:val="14"/>
              </w:rPr>
              <w:t xml:space="preserve">Overheidsdienst </w:t>
            </w:r>
            <w:r w:rsidRPr="008C0412">
              <w:rPr>
                <w:color w:val="FF0000"/>
                <w:sz w:val="14"/>
              </w:rPr>
              <w:t>Binnenlandse Zaken)</w:t>
            </w:r>
          </w:p>
        </w:tc>
        <w:tc>
          <w:tcPr>
            <w:tcW w:w="1973" w:type="dxa"/>
          </w:tcPr>
          <w:p w:rsidR="008C0412" w:rsidRPr="008C0412" w:rsidRDefault="008C0412">
            <w:pPr>
              <w:pStyle w:val="TableParagraph"/>
              <w:spacing w:before="82"/>
              <w:ind w:right="106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Toekenning van g</w:t>
            </w:r>
            <w:r w:rsidRPr="008C0412">
              <w:rPr>
                <w:color w:val="FF0000"/>
                <w:sz w:val="14"/>
              </w:rPr>
              <w:t>emeentelijke</w:t>
            </w:r>
            <w:r w:rsidRPr="008C0412">
              <w:rPr>
                <w:color w:val="FF0000"/>
                <w:sz w:val="14"/>
              </w:rPr>
              <w:t xml:space="preserve"> premies</w:t>
            </w:r>
          </w:p>
        </w:tc>
        <w:tc>
          <w:tcPr>
            <w:tcW w:w="1973" w:type="dxa"/>
          </w:tcPr>
          <w:p w:rsidR="008C0412" w:rsidRPr="008C0412" w:rsidRDefault="008C0412" w:rsidP="008C0412">
            <w:pPr>
              <w:pStyle w:val="TableParagraph"/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Brusselse Codex Fiscale Procedure, artikelen 114 tot en met 117</w:t>
            </w:r>
          </w:p>
          <w:p w:rsidR="008C0412" w:rsidRPr="008C0412" w:rsidRDefault="008C0412" w:rsidP="008C0412">
            <w:pPr>
              <w:pStyle w:val="TableParagraph"/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Nieuwe Gemeentewet, artikel 117</w:t>
            </w:r>
          </w:p>
          <w:p w:rsidR="008C0412" w:rsidRPr="008C0412" w:rsidRDefault="008C0412" w:rsidP="008C0412">
            <w:pPr>
              <w:pStyle w:val="TableParagraph"/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Reglementen van de Gemeente Schaarbeek van 25 april 2018 en van 18 december 2019</w:t>
            </w:r>
          </w:p>
        </w:tc>
        <w:tc>
          <w:tcPr>
            <w:tcW w:w="1973" w:type="dxa"/>
          </w:tcPr>
          <w:p w:rsidR="008C0412" w:rsidRPr="008C0412" w:rsidRDefault="008C0412">
            <w:pPr>
              <w:pStyle w:val="TableParagraph"/>
              <w:tabs>
                <w:tab w:val="left" w:pos="790"/>
                <w:tab w:val="left" w:pos="1383"/>
              </w:tabs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 xml:space="preserve">Brussel Fiscaliteit raadpleegt en gebruikt de gegevens van het Rijksregister om de </w:t>
            </w:r>
            <w:r w:rsidRPr="008C0412">
              <w:rPr>
                <w:color w:val="FF0000"/>
                <w:sz w:val="14"/>
              </w:rPr>
              <w:t>gemeentelijke premies</w:t>
            </w:r>
            <w:r w:rsidRPr="008C0412">
              <w:rPr>
                <w:color w:val="FF0000"/>
                <w:sz w:val="14"/>
              </w:rPr>
              <w:t xml:space="preserve"> toe te kennen aan de eigenaars die hun eigendom bewonen</w:t>
            </w:r>
            <w:r w:rsidRPr="008C0412">
              <w:rPr>
                <w:color w:val="FF0000"/>
                <w:sz w:val="14"/>
              </w:rPr>
              <w:t>.</w:t>
            </w:r>
          </w:p>
          <w:p w:rsidR="008C0412" w:rsidRPr="008C0412" w:rsidRDefault="008C0412">
            <w:pPr>
              <w:pStyle w:val="TableParagraph"/>
              <w:tabs>
                <w:tab w:val="left" w:pos="790"/>
                <w:tab w:val="left" w:pos="1383"/>
              </w:tabs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 xml:space="preserve">Voor het jaar 2020, de betrokkene premier zijn : </w:t>
            </w:r>
          </w:p>
          <w:p w:rsidR="008C0412" w:rsidRPr="008C0412" w:rsidRDefault="008C0412" w:rsidP="008C0412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1383"/>
              </w:tabs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Premie BE HOME van de Gemeente Schaarbeek</w:t>
            </w:r>
          </w:p>
        </w:tc>
        <w:tc>
          <w:tcPr>
            <w:tcW w:w="1974" w:type="dxa"/>
          </w:tcPr>
          <w:p w:rsidR="008C0412" w:rsidRPr="008C0412" w:rsidRDefault="008C0412" w:rsidP="008C0412">
            <w:pPr>
              <w:pStyle w:val="TableParagraph"/>
              <w:spacing w:before="82" w:line="480" w:lineRule="auto"/>
              <w:ind w:left="113" w:right="474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Identificatiegegevens Persoonlijke kenmerken Gezinssamenstelling</w:t>
            </w:r>
          </w:p>
          <w:p w:rsidR="008C0412" w:rsidRPr="008C0412" w:rsidRDefault="008C0412" w:rsidP="008C0412">
            <w:pPr>
              <w:pStyle w:val="TableParagraph"/>
              <w:ind w:left="113" w:right="102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Justitiële gegevens over gerechtelijke maatregelen (voogdij, voorlopig bewind)</w:t>
            </w:r>
          </w:p>
          <w:p w:rsidR="008C0412" w:rsidRPr="008C0412" w:rsidRDefault="008C0412" w:rsidP="008C0412">
            <w:pPr>
              <w:pStyle w:val="TableParagraph"/>
              <w:spacing w:before="10"/>
              <w:ind w:left="0"/>
              <w:rPr>
                <w:color w:val="FF0000"/>
                <w:sz w:val="13"/>
              </w:rPr>
            </w:pPr>
          </w:p>
          <w:p w:rsidR="008C0412" w:rsidRPr="008C0412" w:rsidRDefault="008C0412" w:rsidP="008C0412">
            <w:pPr>
              <w:pStyle w:val="TableParagraph"/>
              <w:spacing w:before="82" w:line="480" w:lineRule="auto"/>
              <w:ind w:left="113" w:right="474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>Rijksregisternummer</w:t>
            </w:r>
          </w:p>
        </w:tc>
        <w:tc>
          <w:tcPr>
            <w:tcW w:w="1973" w:type="dxa"/>
          </w:tcPr>
          <w:p w:rsidR="008C0412" w:rsidRPr="008C0412" w:rsidRDefault="008C0412">
            <w:pPr>
              <w:pStyle w:val="TableParagraph"/>
              <w:spacing w:before="82"/>
              <w:ind w:left="113" w:right="103"/>
              <w:jc w:val="both"/>
              <w:rPr>
                <w:color w:val="FF0000"/>
                <w:sz w:val="14"/>
                <w:lang w:val="fr-BE"/>
              </w:rPr>
            </w:pPr>
            <w:r w:rsidRPr="008C0412">
              <w:rPr>
                <w:color w:val="FF0000"/>
                <w:sz w:val="14"/>
                <w:lang w:val="fr-BE"/>
              </w:rPr>
              <w:t>Beraadslaging</w:t>
            </w:r>
            <w:r w:rsidRPr="008C0412">
              <w:rPr>
                <w:color w:val="FF0000"/>
                <w:sz w:val="14"/>
                <w:lang w:val="fr-BE"/>
              </w:rPr>
              <w:t xml:space="preserve"> R</w:t>
            </w:r>
            <w:r w:rsidRPr="008C0412">
              <w:rPr>
                <w:color w:val="FF0000"/>
                <w:sz w:val="14"/>
                <w:lang w:val="fr-BE"/>
              </w:rPr>
              <w:t>R</w:t>
            </w:r>
            <w:r w:rsidRPr="008C0412">
              <w:rPr>
                <w:color w:val="FF0000"/>
                <w:sz w:val="14"/>
                <w:lang w:val="fr-BE"/>
              </w:rPr>
              <w:t xml:space="preserve"> n</w:t>
            </w:r>
            <w:r w:rsidRPr="008C0412">
              <w:rPr>
                <w:color w:val="FF0000"/>
                <w:sz w:val="14"/>
                <w:lang w:val="fr-BE"/>
              </w:rPr>
              <w:t>r.</w:t>
            </w:r>
            <w:r w:rsidRPr="008C0412">
              <w:rPr>
                <w:color w:val="FF0000"/>
                <w:sz w:val="14"/>
                <w:lang w:val="fr-BE"/>
              </w:rPr>
              <w:t xml:space="preserve"> 13/2013 du 13 février 2013</w:t>
            </w:r>
            <w:r w:rsidRPr="008C0412">
              <w:rPr>
                <w:color w:val="FF0000"/>
                <w:sz w:val="14"/>
                <w:lang w:val="fr-BE"/>
              </w:rPr>
              <w:t xml:space="preserve"> </w:t>
            </w:r>
          </w:p>
        </w:tc>
      </w:tr>
      <w:tr w:rsidR="008E2359">
        <w:trPr>
          <w:trHeight w:val="815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069"/>
                <w:tab w:val="left" w:pos="1676"/>
              </w:tabs>
              <w:spacing w:before="85"/>
              <w:ind w:left="115" w:right="104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8"/>
                <w:sz w:val="14"/>
              </w:rPr>
              <w:t xml:space="preserve">het </w:t>
            </w:r>
            <w:r>
              <w:rPr>
                <w:b/>
                <w:color w:val="0900B6"/>
                <w:sz w:val="14"/>
              </w:rPr>
              <w:t>Rijksregister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Rijksregister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Binnenlandse Zaken)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Behandeling van inbreuken en oplegging van boetes in geval van niet-naleving van de wettelijke bepalingen met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</w:t>
            </w:r>
            <w:r>
              <w:rPr>
                <w:color w:val="0900B6"/>
                <w:sz w:val="14"/>
              </w:rPr>
              <w:t>etreffende de oprichting van de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het Rijksregister om te bepalen of voertuigen die de lage-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82" w:line="480" w:lineRule="auto"/>
              <w:ind w:left="113" w:right="474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Persoonlijke kenmerken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82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Beraadslaging RR nr. 07/2018 van 21 februari 2018</w:t>
            </w:r>
          </w:p>
        </w:tc>
      </w:tr>
      <w:bookmarkEnd w:id="0"/>
    </w:tbl>
    <w:p w:rsidR="008E2359" w:rsidRDefault="008E2359">
      <w:pPr>
        <w:rPr>
          <w:sz w:val="14"/>
        </w:rPr>
        <w:sectPr w:rsidR="008E2359">
          <w:headerReference w:type="default" r:id="rId7"/>
          <w:footerReference w:type="default" r:id="rId8"/>
          <w:type w:val="continuous"/>
          <w:pgSz w:w="16850" w:h="11910" w:orient="landscape"/>
          <w:pgMar w:top="1540" w:right="1320" w:bottom="700" w:left="1480" w:header="574" w:footer="514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900B6"/>
          <w:left w:val="single" w:sz="4" w:space="0" w:color="0900B6"/>
          <w:bottom w:val="single" w:sz="4" w:space="0" w:color="0900B6"/>
          <w:right w:val="single" w:sz="4" w:space="0" w:color="0900B6"/>
          <w:insideH w:val="single" w:sz="4" w:space="0" w:color="0900B6"/>
          <w:insideV w:val="single" w:sz="4" w:space="0" w:color="0900B6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74"/>
        <w:gridCol w:w="1973"/>
        <w:gridCol w:w="1973"/>
        <w:gridCol w:w="1973"/>
        <w:gridCol w:w="1974"/>
        <w:gridCol w:w="1973"/>
      </w:tblGrid>
      <w:tr w:rsidR="008E2359">
        <w:trPr>
          <w:trHeight w:val="3550"/>
        </w:trPr>
        <w:tc>
          <w:tcPr>
            <w:tcW w:w="1976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/>
              <w:ind w:right="106"/>
              <w:rPr>
                <w:sz w:val="14"/>
              </w:rPr>
            </w:pPr>
            <w:r>
              <w:rPr>
                <w:color w:val="0900B6"/>
                <w:sz w:val="14"/>
              </w:rPr>
              <w:t>betrekking tot de Lage- Emissiezone (LEZ)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/>
              <w:ind w:right="106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Gewestelijke Overheidsdienst Brussel Fiscaliteit (artikel 2, 12°)</w:t>
            </w:r>
          </w:p>
          <w:p w:rsidR="008C0412" w:rsidRPr="00F5740D" w:rsidRDefault="008C0412">
            <w:pPr>
              <w:pStyle w:val="TableParagraph"/>
              <w:spacing w:before="75"/>
              <w:ind w:right="106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Brussels Wetboek van Lucht, Klimaat en Energiebeheersing</w:t>
            </w:r>
            <w:r w:rsidRPr="00F5740D">
              <w:rPr>
                <w:color w:val="FF0000"/>
                <w:sz w:val="14"/>
              </w:rPr>
              <w:t>, artikelen 3.2.16 tot en met 3.2.27</w:t>
            </w:r>
          </w:p>
          <w:p w:rsidR="008C0412" w:rsidRDefault="008C0412">
            <w:pPr>
              <w:pStyle w:val="TableParagraph"/>
              <w:spacing w:before="75"/>
              <w:ind w:right="106"/>
              <w:jc w:val="both"/>
              <w:rPr>
                <w:sz w:val="14"/>
              </w:rPr>
            </w:pPr>
            <w:r w:rsidRPr="00F5740D">
              <w:rPr>
                <w:color w:val="FF0000"/>
                <w:sz w:val="14"/>
              </w:rPr>
              <w:t xml:space="preserve">Besluit van de Brusselse Hoofdstedelijke Regering </w:t>
            </w:r>
            <w:r w:rsidR="00F5740D" w:rsidRPr="00F5740D">
              <w:rPr>
                <w:color w:val="FF0000"/>
                <w:sz w:val="14"/>
              </w:rPr>
              <w:t xml:space="preserve">van 25 januari 2018 </w:t>
            </w:r>
            <w:r w:rsidRPr="00F5740D">
              <w:rPr>
                <w:color w:val="FF0000"/>
                <w:sz w:val="14"/>
              </w:rPr>
              <w:t>betreffende het instellen van een lage-emissiezone</w:t>
            </w:r>
            <w:r w:rsidRPr="00F5740D">
              <w:rPr>
                <w:color w:val="FF0000"/>
                <w:sz w:val="14"/>
              </w:rPr>
              <w:t>, artikel</w:t>
            </w:r>
            <w:r w:rsidR="00F5740D" w:rsidRPr="00F5740D">
              <w:rPr>
                <w:color w:val="FF0000"/>
                <w:sz w:val="14"/>
              </w:rPr>
              <w:t xml:space="preserve"> 17, 2°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tabs>
                <w:tab w:val="left" w:pos="1044"/>
                <w:tab w:val="left" w:pos="1143"/>
                <w:tab w:val="left" w:pos="1552"/>
                <w:tab w:val="left" w:pos="1723"/>
              </w:tabs>
              <w:spacing w:before="75"/>
              <w:ind w:right="102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emissiezone binnenkomen, voldoen</w:t>
            </w:r>
            <w:r>
              <w:rPr>
                <w:color w:val="0900B6"/>
                <w:sz w:val="14"/>
              </w:rPr>
              <w:tab/>
              <w:t>aan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7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 xml:space="preserve">toegangsvoorwaarden van </w:t>
            </w:r>
            <w:r w:rsidR="00F5740D" w:rsidRPr="00F5740D">
              <w:rPr>
                <w:color w:val="FF0000"/>
                <w:sz w:val="14"/>
              </w:rPr>
              <w:t>de regelgeving</w:t>
            </w:r>
            <w:r>
              <w:rPr>
                <w:color w:val="0900B6"/>
                <w:sz w:val="14"/>
              </w:rPr>
              <w:t>. In geval van inbreuken op voormelde bepalingen, stelt Brussel Fiscaliteit de inbreuk vast en wordt de overtreder een administratieve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3"/>
                <w:sz w:val="14"/>
              </w:rPr>
              <w:t xml:space="preserve">boete </w:t>
            </w:r>
            <w:r>
              <w:rPr>
                <w:color w:val="0900B6"/>
                <w:sz w:val="14"/>
              </w:rPr>
              <w:t>opgelegd. Brussel Fiscaliteit gaat, in voorkomend geval, ook over tot de gedwongen inv</w:t>
            </w:r>
            <w:r>
              <w:rPr>
                <w:color w:val="0900B6"/>
                <w:sz w:val="14"/>
              </w:rPr>
              <w:t>ordering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7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verschuldigde bedragen die niet door de overtreder zijn betaald.</w:t>
            </w:r>
          </w:p>
        </w:tc>
        <w:tc>
          <w:tcPr>
            <w:tcW w:w="1974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 w:line="480" w:lineRule="auto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Gezinssamenstelling </w:t>
            </w:r>
            <w:r>
              <w:rPr>
                <w:color w:val="0900B6"/>
                <w:w w:val="95"/>
                <w:sz w:val="14"/>
              </w:rPr>
              <w:t>Rijksregisternummer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</w:tr>
      <w:tr w:rsidR="008E2359">
        <w:trPr>
          <w:trHeight w:val="2498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222"/>
                <w:tab w:val="left" w:pos="1719"/>
              </w:tabs>
              <w:spacing w:before="80"/>
              <w:ind w:left="115" w:right="105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 van de Algemene Administratie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10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>Patrimoniumdocumentatie. (Kadaster)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tabs>
                <w:tab w:val="left" w:pos="946"/>
              </w:tabs>
              <w:spacing w:before="78"/>
              <w:ind w:left="112" w:right="104"/>
              <w:rPr>
                <w:sz w:val="14"/>
              </w:rPr>
            </w:pPr>
            <w:r>
              <w:rPr>
                <w:color w:val="0900B6"/>
                <w:sz w:val="14"/>
              </w:rPr>
              <w:t>Algemene Administratie van de Patrimoniumdocumentatie. (Federale</w:t>
            </w:r>
            <w:r>
              <w:rPr>
                <w:color w:val="0900B6"/>
                <w:sz w:val="14"/>
              </w:rPr>
              <w:tab/>
              <w:t>Overheidsdienst Financiën)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143"/>
                <w:tab w:val="left" w:pos="1723"/>
              </w:tabs>
              <w:spacing w:before="78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>Vestiging, controle, inning en invordering</w:t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gewestbelastingen verschuldigd aan het Brussels Hoofdstedelijk</w:t>
            </w:r>
            <w:r>
              <w:rPr>
                <w:color w:val="0900B6"/>
                <w:spacing w:val="-1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Gewest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3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</w:t>
            </w:r>
            <w:r>
              <w:rPr>
                <w:color w:val="0900B6"/>
                <w:sz w:val="14"/>
              </w:rPr>
              <w:t>ering van 15 december 2016 betreffende de oprichting van de Gewestelijke Overheidsdienst Brussel Fiscaliteit (artikel 2,  1° en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2°)</w:t>
            </w:r>
          </w:p>
          <w:p w:rsidR="00F5740D" w:rsidRPr="00F5740D" w:rsidRDefault="00F5740D">
            <w:pPr>
              <w:pStyle w:val="TableParagraph"/>
              <w:spacing w:before="78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Wetboek van de inkomstenbelastingen 1992, artikel 251 tot en met 260</w:t>
            </w:r>
          </w:p>
          <w:p w:rsidR="00F5740D" w:rsidRPr="00F5740D" w:rsidRDefault="00F5740D" w:rsidP="00F5740D">
            <w:pPr>
              <w:pStyle w:val="TableParagraph"/>
              <w:spacing w:before="78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Ordonnantie van 23 juli 1992 betreffende</w:t>
            </w:r>
            <w:r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>de gewestbelasting ten laste van houders</w:t>
            </w:r>
            <w:r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>van een zakelijk recht op sommige</w:t>
            </w:r>
            <w:r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>onroerende goederen</w:t>
            </w:r>
          </w:p>
          <w:p w:rsidR="00F5740D" w:rsidRDefault="00F5740D">
            <w:pPr>
              <w:pStyle w:val="TableParagraph"/>
              <w:spacing w:before="78"/>
              <w:ind w:right="103"/>
              <w:jc w:val="both"/>
              <w:rPr>
                <w:sz w:val="14"/>
              </w:rPr>
            </w:pP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724"/>
              </w:tabs>
              <w:spacing w:before="78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de Algemene Administratie 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>de</w:t>
            </w:r>
          </w:p>
          <w:p w:rsidR="008E2359" w:rsidRDefault="00826CCF">
            <w:pPr>
              <w:pStyle w:val="TableParagraph"/>
              <w:tabs>
                <w:tab w:val="left" w:pos="788"/>
                <w:tab w:val="left" w:pos="1344"/>
              </w:tabs>
              <w:ind w:right="106"/>
              <w:rPr>
                <w:sz w:val="14"/>
              </w:rPr>
            </w:pPr>
            <w:r>
              <w:rPr>
                <w:color w:val="0900B6"/>
                <w:sz w:val="14"/>
              </w:rPr>
              <w:t>Patrimoniumdocumentatie voor</w:t>
            </w:r>
            <w:r>
              <w:rPr>
                <w:color w:val="0900B6"/>
                <w:sz w:val="14"/>
              </w:rPr>
              <w:tab/>
              <w:t>de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3"/>
                <w:sz w:val="14"/>
              </w:rPr>
              <w:t xml:space="preserve">volgende </w:t>
            </w:r>
            <w:r>
              <w:rPr>
                <w:color w:val="0900B6"/>
                <w:sz w:val="14"/>
              </w:rPr>
              <w:t>gewestbelastingen:</w:t>
            </w:r>
          </w:p>
          <w:p w:rsidR="008E2359" w:rsidRDefault="00826CCF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/>
              <w:ind w:left="298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De onroerende</w:t>
            </w:r>
            <w:r>
              <w:rPr>
                <w:color w:val="0900B6"/>
                <w:spacing w:val="-1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voorheffing</w:t>
            </w:r>
          </w:p>
          <w:p w:rsidR="008E2359" w:rsidRDefault="00826CCF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69" w:line="355" w:lineRule="auto"/>
              <w:ind w:right="103" w:firstLine="0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de gewestbelasting ten laste van houders van zakelijke rechten op sommige onro</w:t>
            </w:r>
            <w:r>
              <w:rPr>
                <w:color w:val="0900B6"/>
                <w:sz w:val="14"/>
              </w:rPr>
              <w:t>erende</w:t>
            </w:r>
            <w:r>
              <w:rPr>
                <w:color w:val="0900B6"/>
                <w:spacing w:val="2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goederen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 w:line="480" w:lineRule="auto"/>
              <w:ind w:left="113" w:right="94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Financiële bijzonderheden Persoonlijke kenmerken Leefstijl (eigenschappen) Kenmerken van de huisvesting Rijksregisternummer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Beraadslaging FO nr. 01/2017 van 12 januari 2017</w:t>
            </w:r>
          </w:p>
          <w:p w:rsidR="008E2359" w:rsidRDefault="008E2359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8E2359" w:rsidRDefault="00826CCF">
            <w:pPr>
              <w:pStyle w:val="TableParagraph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Beraadslaging FO nr. 10/2017 van 9 mei 2017</w:t>
            </w:r>
          </w:p>
        </w:tc>
      </w:tr>
      <w:tr w:rsidR="008E2359">
        <w:trPr>
          <w:trHeight w:val="3228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222"/>
                <w:tab w:val="left" w:pos="1719"/>
              </w:tabs>
              <w:spacing w:before="78" w:line="242" w:lineRule="auto"/>
              <w:ind w:left="115" w:right="105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lastRenderedPageBreak/>
              <w:t>Gegevens van de Algemene Administratie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10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>Patrimoniumdocumentatie. (Kadaster)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tabs>
                <w:tab w:val="left" w:pos="947"/>
              </w:tabs>
              <w:spacing w:before="75" w:line="242" w:lineRule="auto"/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Algemene Administratie van de Patrimoniumdocumentatie. 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Financiën)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right="106"/>
              <w:rPr>
                <w:sz w:val="14"/>
              </w:rPr>
            </w:pPr>
            <w:r>
              <w:rPr>
                <w:color w:val="0900B6"/>
                <w:sz w:val="14"/>
              </w:rPr>
              <w:t>Toekenning van gewestelijke premies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Brussel Fiscaliteit (artikel 2, 15°)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724"/>
              </w:tabs>
              <w:spacing w:before="75" w:line="242" w:lineRule="auto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de Algemene Administratie 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>de</w:t>
            </w:r>
          </w:p>
          <w:p w:rsidR="008E2359" w:rsidRDefault="00826CCF">
            <w:pPr>
              <w:pStyle w:val="TableParagraph"/>
              <w:tabs>
                <w:tab w:val="left" w:pos="1025"/>
              </w:tabs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Patrimoniumdocumentatie om de gewestelijke BE HOME- premie toe te kennen aan de eigenaars die hun eigendom in het Brussels Hoofdstedelijk Gewest bewonen, onder de v</w:t>
            </w:r>
            <w:r>
              <w:rPr>
                <w:color w:val="0900B6"/>
                <w:sz w:val="14"/>
              </w:rPr>
              <w:t xml:space="preserve">oorwaarden die </w:t>
            </w:r>
            <w:r>
              <w:rPr>
                <w:color w:val="0900B6"/>
                <w:spacing w:val="-3"/>
                <w:sz w:val="14"/>
              </w:rPr>
              <w:t xml:space="preserve">zijn </w:t>
            </w:r>
            <w:r>
              <w:rPr>
                <w:color w:val="0900B6"/>
                <w:sz w:val="14"/>
              </w:rPr>
              <w:t>vastgelegd in de ordonnantie van 23 november 2017 waarbij de nodige aanpassingen worden doorgevoerd om het Brussels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Hoofdstedelijk </w:t>
            </w:r>
            <w:r>
              <w:rPr>
                <w:color w:val="0900B6"/>
                <w:sz w:val="14"/>
              </w:rPr>
              <w:t>Gewest in staat te stellen de dienst van de onroerende voorheffing te hervatten.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5" w:line="482" w:lineRule="auto"/>
              <w:ind w:left="113" w:right="349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Fi</w:t>
            </w:r>
            <w:r>
              <w:rPr>
                <w:color w:val="0900B6"/>
                <w:sz w:val="14"/>
              </w:rPr>
              <w:t>nanciële bijzonderheden Persoonlijke kenmerken</w:t>
            </w:r>
          </w:p>
          <w:p w:rsidR="008E2359" w:rsidRDefault="00826CCF">
            <w:pPr>
              <w:pStyle w:val="TableParagraph"/>
              <w:ind w:left="113" w:right="960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Leefgewoonten </w:t>
            </w:r>
            <w:r>
              <w:rPr>
                <w:color w:val="0900B6"/>
                <w:w w:val="95"/>
                <w:sz w:val="14"/>
              </w:rPr>
              <w:t>(eigendommen)</w:t>
            </w:r>
          </w:p>
          <w:p w:rsidR="008E2359" w:rsidRDefault="008E2359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8E2359" w:rsidRDefault="00826CCF">
            <w:pPr>
              <w:pStyle w:val="TableParagraph"/>
              <w:spacing w:line="480" w:lineRule="auto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Kenmerken van de huisvesting Rijksregisternummer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left="113"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Beraadslaging FO nr. 49/2016 van donderdag 15 december 2016</w:t>
            </w:r>
          </w:p>
        </w:tc>
      </w:tr>
    </w:tbl>
    <w:p w:rsidR="008E2359" w:rsidRDefault="008E2359">
      <w:pPr>
        <w:jc w:val="both"/>
        <w:rPr>
          <w:sz w:val="14"/>
        </w:rPr>
        <w:sectPr w:rsidR="008E2359">
          <w:pgSz w:w="16850" w:h="11910" w:orient="landscape"/>
          <w:pgMar w:top="1540" w:right="1320" w:bottom="700" w:left="1480" w:header="574" w:footer="51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900B6"/>
          <w:left w:val="single" w:sz="4" w:space="0" w:color="0900B6"/>
          <w:bottom w:val="single" w:sz="4" w:space="0" w:color="0900B6"/>
          <w:right w:val="single" w:sz="4" w:space="0" w:color="0900B6"/>
          <w:insideH w:val="single" w:sz="4" w:space="0" w:color="0900B6"/>
          <w:insideV w:val="single" w:sz="4" w:space="0" w:color="0900B6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74"/>
        <w:gridCol w:w="1973"/>
        <w:gridCol w:w="1973"/>
        <w:gridCol w:w="1973"/>
        <w:gridCol w:w="1974"/>
        <w:gridCol w:w="1973"/>
      </w:tblGrid>
      <w:tr w:rsidR="008E2359">
        <w:trPr>
          <w:trHeight w:val="2575"/>
        </w:trPr>
        <w:tc>
          <w:tcPr>
            <w:tcW w:w="1976" w:type="dxa"/>
            <w:tcBorders>
              <w:top w:val="nil"/>
            </w:tcBorders>
          </w:tcPr>
          <w:p w:rsidR="008E2359" w:rsidRDefault="00826CCF">
            <w:pPr>
              <w:pStyle w:val="TableParagraph"/>
              <w:tabs>
                <w:tab w:val="left" w:pos="1222"/>
                <w:tab w:val="left" w:pos="1719"/>
              </w:tabs>
              <w:spacing w:before="78" w:line="276" w:lineRule="auto"/>
              <w:ind w:left="115" w:right="105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lastRenderedPageBreak/>
              <w:t>Gegevens van de Algemene Administratie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10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>Patrimoniumdocumentatie (Kadaster)</w:t>
            </w:r>
          </w:p>
        </w:tc>
        <w:tc>
          <w:tcPr>
            <w:tcW w:w="1974" w:type="dxa"/>
            <w:tcBorders>
              <w:top w:val="nil"/>
            </w:tcBorders>
          </w:tcPr>
          <w:p w:rsidR="008E2359" w:rsidRDefault="00826CCF">
            <w:pPr>
              <w:pStyle w:val="TableParagraph"/>
              <w:tabs>
                <w:tab w:val="left" w:pos="946"/>
              </w:tabs>
              <w:spacing w:before="75"/>
              <w:ind w:left="112" w:right="103"/>
              <w:rPr>
                <w:sz w:val="14"/>
              </w:rPr>
            </w:pPr>
            <w:r>
              <w:rPr>
                <w:color w:val="0900B6"/>
                <w:sz w:val="14"/>
              </w:rPr>
              <w:t>Algemene Administratie van de Patrimoniumdocumentatie. (Federale</w:t>
            </w:r>
            <w:r>
              <w:rPr>
                <w:color w:val="0900B6"/>
                <w:sz w:val="14"/>
              </w:rPr>
              <w:tab/>
              <w:t>Overheidsdienst Financiën)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>Toekenning van gemeentelijke premies</w:t>
            </w:r>
          </w:p>
        </w:tc>
        <w:tc>
          <w:tcPr>
            <w:tcW w:w="1973" w:type="dxa"/>
            <w:tcBorders>
              <w:top w:val="nil"/>
            </w:tcBorders>
          </w:tcPr>
          <w:p w:rsidR="00F5740D" w:rsidRPr="00F5740D" w:rsidRDefault="00F5740D" w:rsidP="00F5740D">
            <w:pPr>
              <w:pStyle w:val="TableParagraph"/>
              <w:spacing w:before="75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Brusselse Codex Fiscale Procedure, artikelen 114 tot en met 117</w:t>
            </w:r>
          </w:p>
          <w:p w:rsidR="00F5740D" w:rsidRPr="00F5740D" w:rsidRDefault="00F5740D" w:rsidP="00F5740D">
            <w:pPr>
              <w:pStyle w:val="TableParagraph"/>
              <w:spacing w:before="75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Nieuwe Gemeentewet, artikel 117</w:t>
            </w:r>
          </w:p>
          <w:p w:rsidR="00F5740D" w:rsidRDefault="00F5740D" w:rsidP="00F5740D">
            <w:pPr>
              <w:pStyle w:val="TableParagraph"/>
              <w:spacing w:before="75"/>
              <w:ind w:right="103"/>
              <w:jc w:val="both"/>
              <w:rPr>
                <w:sz w:val="14"/>
              </w:rPr>
            </w:pPr>
            <w:r w:rsidRPr="00F5740D">
              <w:rPr>
                <w:color w:val="FF0000"/>
                <w:sz w:val="14"/>
              </w:rPr>
              <w:t>Reglementen van de Gemeente Schaarbeek van 25 april 2018 en van 18 december 2019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Pr="00F5740D" w:rsidRDefault="00826CCF" w:rsidP="00F5740D">
            <w:pPr>
              <w:pStyle w:val="TableParagraph"/>
              <w:tabs>
                <w:tab w:val="left" w:pos="1724"/>
              </w:tabs>
              <w:spacing w:before="75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Brussel Fiscaliteit raadpleegt en gebruikt de gegevens van de Algemene Administratie van</w:t>
            </w:r>
            <w:r w:rsidR="00F5740D"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pacing w:val="-8"/>
                <w:sz w:val="14"/>
              </w:rPr>
              <w:t>de</w:t>
            </w:r>
            <w:r w:rsidR="00F5740D"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 xml:space="preserve">Patrimoniumdocumentatie om de </w:t>
            </w:r>
            <w:r w:rsidR="00F5740D" w:rsidRPr="00F5740D">
              <w:rPr>
                <w:color w:val="FF0000"/>
                <w:sz w:val="14"/>
              </w:rPr>
              <w:t>gemeentelijke</w:t>
            </w:r>
            <w:r w:rsidRPr="00F5740D">
              <w:rPr>
                <w:color w:val="FF0000"/>
                <w:sz w:val="14"/>
              </w:rPr>
              <w:t xml:space="preserve"> premie</w:t>
            </w:r>
            <w:r w:rsidR="00F5740D" w:rsidRPr="00F5740D">
              <w:rPr>
                <w:color w:val="FF0000"/>
                <w:sz w:val="14"/>
              </w:rPr>
              <w:t>s</w:t>
            </w:r>
            <w:r w:rsidRPr="00F5740D">
              <w:rPr>
                <w:color w:val="FF0000"/>
                <w:sz w:val="14"/>
              </w:rPr>
              <w:t xml:space="preserve"> toe te kennen aan eigenaars die hun woning </w:t>
            </w:r>
            <w:r w:rsidRPr="00F5740D">
              <w:rPr>
                <w:color w:val="FF0000"/>
                <w:sz w:val="14"/>
              </w:rPr>
              <w:t>bewonen</w:t>
            </w:r>
            <w:r w:rsidR="00F5740D" w:rsidRPr="00F5740D">
              <w:rPr>
                <w:color w:val="FF0000"/>
                <w:sz w:val="14"/>
              </w:rPr>
              <w:t>.</w:t>
            </w:r>
            <w:r w:rsidRPr="00F5740D">
              <w:rPr>
                <w:color w:val="FF0000"/>
                <w:sz w:val="14"/>
              </w:rPr>
              <w:t>.</w:t>
            </w:r>
          </w:p>
          <w:p w:rsidR="00F5740D" w:rsidRDefault="00F5740D" w:rsidP="00F5740D">
            <w:pPr>
              <w:pStyle w:val="TableParagraph"/>
              <w:tabs>
                <w:tab w:val="left" w:pos="1212"/>
              </w:tabs>
              <w:ind w:right="103"/>
              <w:jc w:val="both"/>
              <w:rPr>
                <w:color w:val="0900B6"/>
                <w:sz w:val="14"/>
              </w:rPr>
            </w:pPr>
          </w:p>
          <w:p w:rsidR="00F5740D" w:rsidRPr="008C0412" w:rsidRDefault="00F5740D" w:rsidP="00F5740D">
            <w:pPr>
              <w:pStyle w:val="TableParagraph"/>
              <w:tabs>
                <w:tab w:val="left" w:pos="790"/>
                <w:tab w:val="left" w:pos="1383"/>
              </w:tabs>
              <w:spacing w:before="82"/>
              <w:ind w:right="103"/>
              <w:jc w:val="both"/>
              <w:rPr>
                <w:color w:val="FF0000"/>
                <w:sz w:val="14"/>
              </w:rPr>
            </w:pPr>
            <w:r w:rsidRPr="008C0412">
              <w:rPr>
                <w:color w:val="FF0000"/>
                <w:sz w:val="14"/>
              </w:rPr>
              <w:t xml:space="preserve">Voor het jaar 2020, de betrokkene premier zijn : </w:t>
            </w:r>
          </w:p>
          <w:p w:rsidR="00F5740D" w:rsidRDefault="00F5740D" w:rsidP="00F5740D">
            <w:pPr>
              <w:pStyle w:val="TableParagraph"/>
              <w:numPr>
                <w:ilvl w:val="0"/>
                <w:numId w:val="3"/>
              </w:numPr>
              <w:tabs>
                <w:tab w:val="left" w:pos="1212"/>
              </w:tabs>
              <w:ind w:left="502" w:right="103" w:hanging="218"/>
              <w:jc w:val="both"/>
              <w:rPr>
                <w:color w:val="0900B6"/>
                <w:sz w:val="14"/>
              </w:rPr>
            </w:pPr>
            <w:r w:rsidRPr="008C0412">
              <w:rPr>
                <w:color w:val="FF0000"/>
                <w:sz w:val="14"/>
              </w:rPr>
              <w:t>Premie BE HOME van de Gemeente Schaarbeek</w:t>
            </w:r>
          </w:p>
          <w:p w:rsidR="00F5740D" w:rsidRDefault="00F5740D" w:rsidP="00F5740D">
            <w:pPr>
              <w:pStyle w:val="TableParagraph"/>
              <w:tabs>
                <w:tab w:val="left" w:pos="1212"/>
              </w:tabs>
              <w:ind w:right="103"/>
              <w:jc w:val="both"/>
              <w:rPr>
                <w:sz w:val="1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4"/>
              </w:rPr>
            </w:pPr>
          </w:p>
          <w:p w:rsidR="008E2359" w:rsidRDefault="00826CCF">
            <w:pPr>
              <w:pStyle w:val="TableParagraph"/>
              <w:spacing w:before="99" w:line="552" w:lineRule="auto"/>
              <w:ind w:left="113" w:right="349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Financiële bijzonderheden Persoonlijke kenmerken</w:t>
            </w:r>
          </w:p>
          <w:p w:rsidR="008E2359" w:rsidRDefault="00826CCF">
            <w:pPr>
              <w:pStyle w:val="TableParagraph"/>
              <w:spacing w:before="1" w:line="276" w:lineRule="auto"/>
              <w:ind w:left="113" w:right="960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Leefgewoonten </w:t>
            </w:r>
            <w:r>
              <w:rPr>
                <w:color w:val="0900B6"/>
                <w:w w:val="95"/>
                <w:sz w:val="14"/>
              </w:rPr>
              <w:t>(eigendommen)</w:t>
            </w:r>
          </w:p>
          <w:p w:rsidR="008E2359" w:rsidRDefault="00826CCF">
            <w:pPr>
              <w:pStyle w:val="TableParagraph"/>
              <w:spacing w:line="554" w:lineRule="auto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Kenmerken van de huisvesting Rijksregisternummer</w:t>
            </w:r>
          </w:p>
        </w:tc>
        <w:tc>
          <w:tcPr>
            <w:tcW w:w="1973" w:type="dxa"/>
            <w:tcBorders>
              <w:top w:val="nil"/>
            </w:tcBorders>
          </w:tcPr>
          <w:p w:rsidR="00F5740D" w:rsidRPr="00F5740D" w:rsidRDefault="00F5740D">
            <w:pPr>
              <w:pStyle w:val="TableParagraph"/>
              <w:tabs>
                <w:tab w:val="left" w:pos="732"/>
                <w:tab w:val="left" w:pos="1283"/>
                <w:tab w:val="left" w:pos="1439"/>
                <w:tab w:val="left" w:pos="1602"/>
              </w:tabs>
              <w:spacing w:before="75" w:line="276" w:lineRule="auto"/>
              <w:ind w:left="113" w:right="100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Beraaslaging FO nr.22/2018 van 3 mei 2018</w:t>
            </w:r>
          </w:p>
          <w:p w:rsidR="008E2359" w:rsidRDefault="00826CCF">
            <w:pPr>
              <w:pStyle w:val="TableParagraph"/>
              <w:tabs>
                <w:tab w:val="left" w:pos="732"/>
                <w:tab w:val="left" w:pos="1283"/>
                <w:tab w:val="left" w:pos="1439"/>
                <w:tab w:val="left" w:pos="1602"/>
              </w:tabs>
              <w:spacing w:before="75" w:line="276" w:lineRule="auto"/>
              <w:ind w:left="113" w:right="100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Kaderprotoco</w:t>
            </w:r>
            <w:r w:rsidR="00F5740D">
              <w:rPr>
                <w:color w:val="0900B6"/>
                <w:sz w:val="14"/>
              </w:rPr>
              <w:t xml:space="preserve">l </w:t>
            </w:r>
            <w:r>
              <w:rPr>
                <w:color w:val="0900B6"/>
                <w:spacing w:val="-5"/>
                <w:sz w:val="14"/>
              </w:rPr>
              <w:t xml:space="preserve">voor </w:t>
            </w:r>
            <w:r>
              <w:rPr>
                <w:color w:val="0900B6"/>
                <w:sz w:val="14"/>
              </w:rPr>
              <w:t>gegevensverwerking tussen de Federale Overheidsdienst Financiën en de Gewestelijke Overheidsdienst</w:t>
            </w:r>
            <w:r w:rsidR="00F5740D">
              <w:rPr>
                <w:color w:val="0900B6"/>
                <w:sz w:val="14"/>
              </w:rPr>
              <w:t xml:space="preserve"> </w:t>
            </w:r>
            <w:r>
              <w:rPr>
                <w:color w:val="0900B6"/>
                <w:spacing w:val="-3"/>
                <w:sz w:val="14"/>
              </w:rPr>
              <w:t xml:space="preserve">Brussel </w:t>
            </w:r>
            <w:r>
              <w:rPr>
                <w:color w:val="0900B6"/>
                <w:sz w:val="14"/>
              </w:rPr>
              <w:t>Fiscaliteit met betrekking tot de verwerking van gegevens van</w:t>
            </w:r>
            <w:r w:rsidR="00F5740D">
              <w:rPr>
                <w:color w:val="0900B6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de</w:t>
            </w:r>
            <w:r w:rsidR="00F5740D">
              <w:rPr>
                <w:color w:val="0900B6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Algemene Administratie van de Patrimoniumdocumentatie in het kader van de Schaarbeekse BEHOME-premie, vastgesteld op 04/07/2018</w:t>
            </w:r>
          </w:p>
        </w:tc>
      </w:tr>
      <w:tr w:rsidR="008E2359">
        <w:trPr>
          <w:trHeight w:val="1941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091"/>
                <w:tab w:val="left" w:pos="1719"/>
              </w:tabs>
              <w:spacing w:before="80"/>
              <w:ind w:left="115" w:right="105"/>
              <w:jc w:val="both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10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 xml:space="preserve">Kruispuntbank van </w:t>
            </w:r>
            <w:r>
              <w:rPr>
                <w:b/>
                <w:color w:val="0900B6"/>
                <w:spacing w:val="-7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>Sociale Zekerheid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Kruispuntbank van de Sociale Zekerheid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Sociale</w:t>
            </w:r>
            <w:r>
              <w:rPr>
                <w:color w:val="0900B6"/>
                <w:sz w:val="14"/>
              </w:rPr>
              <w:t xml:space="preserve"> Zekerheid)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143"/>
                <w:tab w:val="left" w:pos="1723"/>
              </w:tabs>
              <w:spacing w:before="78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>Vestiging, controle, inning en invordering</w:t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gewestbelastingen verschuldigd aan het Brussels Hoofdstedelijk</w:t>
            </w:r>
            <w:r>
              <w:rPr>
                <w:color w:val="0900B6"/>
                <w:spacing w:val="-1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Gewest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Brussel Fiscaliteit (artikel 2,  1° en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2°)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644"/>
              </w:tabs>
              <w:spacing w:before="78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Brussel Fiscaliteit raadpleegt en gebruikt de gegevens van de Kruispuntbank van </w:t>
            </w:r>
            <w:r>
              <w:rPr>
                <w:color w:val="0900B6"/>
                <w:sz w:val="14"/>
              </w:rPr>
              <w:t>de Sociale Zekerheid voor alle gewestbelastingen waarvoor het verantwoordelijk is. Raadpleging van het BIS- register is noodzakelijk, aangezien in dit register de niet-ingezetenen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4"/>
                <w:sz w:val="14"/>
              </w:rPr>
              <w:t xml:space="preserve">zijn </w:t>
            </w:r>
            <w:r>
              <w:rPr>
                <w:color w:val="0900B6"/>
                <w:sz w:val="14"/>
              </w:rPr>
              <w:t>ingeschreven.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 w:line="480" w:lineRule="auto"/>
              <w:ind w:left="113" w:right="493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Persoonlijke kenmerken BIS-register</w:t>
            </w:r>
            <w:r>
              <w:rPr>
                <w:color w:val="0900B6"/>
                <w:sz w:val="14"/>
              </w:rPr>
              <w:t>nummer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KSZ-besluit nr. 12/013 van 6 maart 2012</w:t>
            </w:r>
          </w:p>
          <w:p w:rsidR="008E2359" w:rsidRDefault="00826CCF">
            <w:pPr>
              <w:pStyle w:val="TableParagraph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KSZ-besluit nr. 17/028 van 4 april 2017</w:t>
            </w:r>
          </w:p>
        </w:tc>
      </w:tr>
      <w:tr w:rsidR="008E2359">
        <w:trPr>
          <w:trHeight w:val="2748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270"/>
                <w:tab w:val="left" w:pos="1719"/>
              </w:tabs>
              <w:spacing w:before="80"/>
              <w:ind w:left="115" w:right="106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Kruispuntbank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10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>Sociale Zekerheid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Kruispuntbank van de Sociale Zekerheid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Sociale Zekerheid)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143"/>
                <w:tab w:val="left" w:pos="1723"/>
              </w:tabs>
              <w:spacing w:before="78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>Vestiging, controle, inning en invordering</w:t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gewestbelastingen verschuldigd aan het Brussels Hoofdstedelijk</w:t>
            </w:r>
            <w:r>
              <w:rPr>
                <w:color w:val="0900B6"/>
                <w:spacing w:val="-1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Gewest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3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</w:t>
            </w:r>
            <w:r>
              <w:rPr>
                <w:color w:val="0900B6"/>
                <w:sz w:val="14"/>
              </w:rPr>
              <w:t>ssel Fiscaliteit (artikel 2,  1° en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2°)</w:t>
            </w:r>
          </w:p>
          <w:p w:rsidR="00F5740D" w:rsidRPr="00F5740D" w:rsidRDefault="00F5740D" w:rsidP="00F5740D">
            <w:pPr>
              <w:pStyle w:val="TableParagraph"/>
              <w:spacing w:before="78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Ordonnantie van 23 juli 1992 betreffende</w:t>
            </w:r>
            <w:r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>de gewestbelasting ten laste van houders</w:t>
            </w:r>
            <w:r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>van een zakelijk recht op sommige</w:t>
            </w:r>
            <w:r w:rsidRPr="00F5740D">
              <w:rPr>
                <w:color w:val="FF0000"/>
                <w:sz w:val="14"/>
              </w:rPr>
              <w:t xml:space="preserve"> </w:t>
            </w:r>
            <w:r w:rsidRPr="00F5740D">
              <w:rPr>
                <w:color w:val="FF0000"/>
                <w:sz w:val="14"/>
              </w:rPr>
              <w:t>onroerende goederen</w:t>
            </w:r>
          </w:p>
          <w:p w:rsidR="00F5740D" w:rsidRPr="00F5740D" w:rsidRDefault="00F5740D" w:rsidP="00F5740D">
            <w:pPr>
              <w:pStyle w:val="TableParagraph"/>
              <w:spacing w:before="78"/>
              <w:ind w:right="103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Wetboek van de inkomstenbelasting 1992, artikel 257</w:t>
            </w:r>
          </w:p>
          <w:p w:rsidR="00F5740D" w:rsidRDefault="00F5740D" w:rsidP="00F5740D">
            <w:pPr>
              <w:pStyle w:val="TableParagraph"/>
              <w:spacing w:before="78"/>
              <w:ind w:right="103"/>
              <w:jc w:val="both"/>
              <w:rPr>
                <w:sz w:val="14"/>
              </w:rPr>
            </w:pPr>
            <w:r w:rsidRPr="00F5740D">
              <w:rPr>
                <w:color w:val="FF0000"/>
                <w:sz w:val="14"/>
              </w:rPr>
              <w:t>Wetboek van de met de inkomstenbelastingen gelijkgestelde belastingen, artikelen 5 en 96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085"/>
              </w:tabs>
              <w:spacing w:before="78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de Kruispuntbank van de Sociale Zekerheid om eventuele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>vrijstellingen,</w:t>
            </w:r>
          </w:p>
          <w:p w:rsidR="008E2359" w:rsidRDefault="00826CCF">
            <w:pPr>
              <w:pStyle w:val="TableParagraph"/>
              <w:tabs>
                <w:tab w:val="left" w:pos="1740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ontheffingen</w:t>
            </w:r>
            <w:r>
              <w:rPr>
                <w:color w:val="0900B6"/>
                <w:sz w:val="14"/>
              </w:rPr>
              <w:tab/>
              <w:t>of</w:t>
            </w:r>
          </w:p>
          <w:p w:rsidR="008E2359" w:rsidRDefault="00826CCF">
            <w:pPr>
              <w:pStyle w:val="TableParagraph"/>
              <w:ind w:right="102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verminderingen toe te passen op de belastingen  waarvoor het verantwoordelijk</w:t>
            </w:r>
            <w:r>
              <w:rPr>
                <w:color w:val="0900B6"/>
                <w:spacing w:val="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is.</w:t>
            </w:r>
          </w:p>
          <w:p w:rsidR="00F5740D" w:rsidRDefault="00F5740D">
            <w:pPr>
              <w:pStyle w:val="TableParagraph"/>
              <w:ind w:right="102"/>
              <w:jc w:val="both"/>
              <w:rPr>
                <w:color w:val="0900B6"/>
                <w:sz w:val="14"/>
              </w:rPr>
            </w:pPr>
          </w:p>
          <w:p w:rsidR="00F5740D" w:rsidRDefault="00F5740D">
            <w:pPr>
              <w:pStyle w:val="TableParagraph"/>
              <w:ind w:right="102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 xml:space="preserve">Het gaat om de volgende belastingen : </w:t>
            </w:r>
          </w:p>
          <w:p w:rsidR="00F5740D" w:rsidRPr="00CC2BE3" w:rsidRDefault="00F5740D" w:rsidP="00CC2BE3">
            <w:pPr>
              <w:pStyle w:val="TableParagraph"/>
              <w:numPr>
                <w:ilvl w:val="0"/>
                <w:numId w:val="3"/>
              </w:numPr>
              <w:ind w:left="361" w:right="102" w:hanging="219"/>
              <w:jc w:val="both"/>
              <w:rPr>
                <w:color w:val="FF0000"/>
                <w:sz w:val="14"/>
              </w:rPr>
            </w:pPr>
            <w:r w:rsidRPr="00CC2BE3">
              <w:rPr>
                <w:color w:val="FF0000"/>
                <w:sz w:val="14"/>
              </w:rPr>
              <w:t>Gewestbelasting voor gezinshoofden en alleenstaanden</w:t>
            </w:r>
            <w:r w:rsidR="00CC2BE3" w:rsidRPr="00CC2BE3">
              <w:rPr>
                <w:color w:val="FF0000"/>
                <w:sz w:val="14"/>
              </w:rPr>
              <w:t xml:space="preserve"> (tot en met 2016)</w:t>
            </w:r>
          </w:p>
          <w:p w:rsidR="00CC2BE3" w:rsidRPr="00CC2BE3" w:rsidRDefault="00CC2BE3" w:rsidP="00CC2BE3">
            <w:pPr>
              <w:pStyle w:val="TableParagraph"/>
              <w:numPr>
                <w:ilvl w:val="0"/>
                <w:numId w:val="3"/>
              </w:numPr>
              <w:ind w:left="361" w:right="102" w:hanging="219"/>
              <w:jc w:val="both"/>
              <w:rPr>
                <w:color w:val="FF0000"/>
                <w:sz w:val="14"/>
              </w:rPr>
            </w:pPr>
            <w:r w:rsidRPr="00CC2BE3">
              <w:rPr>
                <w:color w:val="FF0000"/>
                <w:sz w:val="14"/>
              </w:rPr>
              <w:t>Onroerende voorheffing (sinds 01/01/2018)</w:t>
            </w:r>
          </w:p>
          <w:p w:rsidR="00CC2BE3" w:rsidRDefault="00CC2BE3" w:rsidP="00CC2BE3">
            <w:pPr>
              <w:pStyle w:val="TableParagraph"/>
              <w:numPr>
                <w:ilvl w:val="0"/>
                <w:numId w:val="3"/>
              </w:numPr>
              <w:ind w:left="361" w:right="102" w:hanging="219"/>
              <w:jc w:val="both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Verkeersbelasting op de autovoertuigen et belasting op de inverkeerstelling (sinds 01/01/2020)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 w:line="480" w:lineRule="auto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 Financ</w:t>
            </w:r>
            <w:r>
              <w:rPr>
                <w:color w:val="0900B6"/>
                <w:sz w:val="14"/>
              </w:rPr>
              <w:t>iële bijzonderheden Beroep en werkgelegenheid Gezondheidsgegevens</w:t>
            </w:r>
          </w:p>
        </w:tc>
        <w:tc>
          <w:tcPr>
            <w:tcW w:w="1973" w:type="dxa"/>
          </w:tcPr>
          <w:p w:rsidR="008E2359" w:rsidRDefault="00CC2BE3">
            <w:pPr>
              <w:pStyle w:val="TableParagraph"/>
              <w:spacing w:before="78"/>
              <w:ind w:left="113" w:right="106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00/18 van 1 februari 2000</w:t>
            </w:r>
          </w:p>
          <w:p w:rsidR="008E2359" w:rsidRDefault="00CC2BE3">
            <w:pPr>
              <w:pStyle w:val="TableParagraph"/>
              <w:ind w:left="113" w:right="106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00/43 van </w:t>
            </w:r>
            <w:r w:rsidR="00826CCF">
              <w:rPr>
                <w:color w:val="0900B6"/>
                <w:spacing w:val="-12"/>
                <w:sz w:val="14"/>
              </w:rPr>
              <w:t xml:space="preserve">9 </w:t>
            </w:r>
            <w:r w:rsidR="00826CCF">
              <w:rPr>
                <w:color w:val="0900B6"/>
                <w:sz w:val="14"/>
              </w:rPr>
              <w:t>mei</w:t>
            </w:r>
            <w:r w:rsidR="00826CCF">
              <w:rPr>
                <w:color w:val="0900B6"/>
                <w:spacing w:val="-3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2000</w:t>
            </w:r>
          </w:p>
          <w:p w:rsidR="008E2359" w:rsidRDefault="00CC2BE3">
            <w:pPr>
              <w:pStyle w:val="TableParagraph"/>
              <w:ind w:left="113" w:right="106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</w:t>
            </w:r>
            <w:r w:rsidR="00826CCF">
              <w:rPr>
                <w:color w:val="0900B6"/>
                <w:sz w:val="14"/>
              </w:rPr>
              <w:t xml:space="preserve"> nr. 01/47 van </w:t>
            </w:r>
            <w:r w:rsidR="00826CCF">
              <w:rPr>
                <w:color w:val="0900B6"/>
                <w:spacing w:val="-12"/>
                <w:sz w:val="14"/>
              </w:rPr>
              <w:t xml:space="preserve">5 </w:t>
            </w:r>
            <w:r w:rsidR="00826CCF">
              <w:rPr>
                <w:color w:val="0900B6"/>
                <w:sz w:val="14"/>
              </w:rPr>
              <w:t>juni</w:t>
            </w:r>
            <w:r w:rsidR="00826CCF">
              <w:rPr>
                <w:color w:val="0900B6"/>
                <w:spacing w:val="-1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2001</w:t>
            </w:r>
          </w:p>
          <w:p w:rsidR="008E2359" w:rsidRDefault="00CC2BE3">
            <w:pPr>
              <w:pStyle w:val="TableParagraph"/>
              <w:ind w:left="113" w:right="106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04/015 van </w:t>
            </w:r>
            <w:r w:rsidR="00826CCF">
              <w:rPr>
                <w:color w:val="0900B6"/>
                <w:spacing w:val="-11"/>
                <w:sz w:val="14"/>
              </w:rPr>
              <w:t xml:space="preserve">8 </w:t>
            </w:r>
            <w:r w:rsidR="00826CCF">
              <w:rPr>
                <w:color w:val="0900B6"/>
                <w:sz w:val="14"/>
              </w:rPr>
              <w:t>juni</w:t>
            </w:r>
            <w:r w:rsidR="00826CCF">
              <w:rPr>
                <w:color w:val="0900B6"/>
                <w:spacing w:val="-1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2014</w:t>
            </w:r>
          </w:p>
          <w:p w:rsidR="008E2359" w:rsidRDefault="00CC2BE3">
            <w:pPr>
              <w:pStyle w:val="TableParagraph"/>
              <w:spacing w:line="242" w:lineRule="auto"/>
              <w:ind w:left="113" w:right="106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03/50 van </w:t>
            </w:r>
            <w:r w:rsidR="00826CCF">
              <w:rPr>
                <w:color w:val="0900B6"/>
                <w:spacing w:val="-12"/>
                <w:sz w:val="14"/>
              </w:rPr>
              <w:t xml:space="preserve">6 </w:t>
            </w:r>
            <w:r w:rsidR="00826CCF">
              <w:rPr>
                <w:color w:val="0900B6"/>
                <w:sz w:val="14"/>
              </w:rPr>
              <w:t>mei</w:t>
            </w:r>
            <w:r w:rsidR="00826CCF">
              <w:rPr>
                <w:color w:val="0900B6"/>
                <w:spacing w:val="-3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20</w:t>
            </w:r>
            <w:r w:rsidR="00826CCF">
              <w:rPr>
                <w:color w:val="0900B6"/>
                <w:sz w:val="14"/>
              </w:rPr>
              <w:t>13</w:t>
            </w:r>
          </w:p>
          <w:p w:rsidR="008E2359" w:rsidRDefault="00CC2BE3">
            <w:pPr>
              <w:pStyle w:val="TableParagraph"/>
              <w:ind w:left="113" w:right="103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14/006 van 14 november 2014</w:t>
            </w:r>
          </w:p>
          <w:p w:rsidR="008E2359" w:rsidRDefault="00CC2BE3">
            <w:pPr>
              <w:pStyle w:val="TableParagraph"/>
              <w:ind w:left="113" w:right="106"/>
              <w:rPr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10/2017 van </w:t>
            </w:r>
            <w:r w:rsidR="00826CCF">
              <w:rPr>
                <w:color w:val="0900B6"/>
                <w:spacing w:val="-12"/>
                <w:sz w:val="14"/>
              </w:rPr>
              <w:t xml:space="preserve">9 </w:t>
            </w:r>
            <w:r w:rsidR="00826CCF">
              <w:rPr>
                <w:color w:val="0900B6"/>
                <w:sz w:val="14"/>
              </w:rPr>
              <w:t>mei</w:t>
            </w:r>
            <w:r w:rsidR="00826CCF">
              <w:rPr>
                <w:color w:val="0900B6"/>
                <w:spacing w:val="-3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2017</w:t>
            </w:r>
          </w:p>
          <w:p w:rsidR="008E2359" w:rsidRDefault="00CC2BE3">
            <w:pPr>
              <w:pStyle w:val="TableParagraph"/>
              <w:ind w:left="113" w:right="106"/>
              <w:rPr>
                <w:color w:val="0900B6"/>
                <w:sz w:val="14"/>
              </w:rPr>
            </w:pPr>
            <w:r w:rsidRPr="00CC2BE3">
              <w:rPr>
                <w:color w:val="FF0000"/>
                <w:sz w:val="14"/>
              </w:rPr>
              <w:t>Beraadslaging</w:t>
            </w:r>
            <w:r>
              <w:rPr>
                <w:color w:val="0900B6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KSZ-</w:t>
            </w:r>
            <w:r w:rsidR="00826CCF">
              <w:rPr>
                <w:color w:val="0900B6"/>
                <w:sz w:val="14"/>
              </w:rPr>
              <w:t xml:space="preserve"> nr. 18/059 van </w:t>
            </w:r>
            <w:r w:rsidR="00826CCF">
              <w:rPr>
                <w:color w:val="0900B6"/>
                <w:spacing w:val="-11"/>
                <w:sz w:val="14"/>
              </w:rPr>
              <w:t xml:space="preserve">8 </w:t>
            </w:r>
            <w:r w:rsidR="00826CCF">
              <w:rPr>
                <w:color w:val="0900B6"/>
                <w:sz w:val="14"/>
              </w:rPr>
              <w:t>mei</w:t>
            </w:r>
            <w:r w:rsidR="00826CCF">
              <w:rPr>
                <w:color w:val="0900B6"/>
                <w:spacing w:val="-3"/>
                <w:sz w:val="14"/>
              </w:rPr>
              <w:t xml:space="preserve"> </w:t>
            </w:r>
            <w:r w:rsidR="00826CCF">
              <w:rPr>
                <w:color w:val="0900B6"/>
                <w:sz w:val="14"/>
              </w:rPr>
              <w:t>2018</w:t>
            </w:r>
          </w:p>
          <w:p w:rsidR="00CC2BE3" w:rsidRDefault="00CC2BE3">
            <w:pPr>
              <w:pStyle w:val="TableParagraph"/>
              <w:ind w:left="113" w:right="106"/>
              <w:rPr>
                <w:sz w:val="14"/>
              </w:rPr>
            </w:pPr>
            <w:r>
              <w:rPr>
                <w:color w:val="FF0000"/>
                <w:sz w:val="14"/>
              </w:rPr>
              <w:t>Beraadslaging IVC/KSZG/19/066 va 1 oktober 2019</w:t>
            </w:r>
          </w:p>
        </w:tc>
      </w:tr>
      <w:tr w:rsidR="008E2359">
        <w:trPr>
          <w:trHeight w:val="1617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270"/>
                <w:tab w:val="left" w:pos="1719"/>
              </w:tabs>
              <w:spacing w:before="78"/>
              <w:ind w:left="115" w:right="106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lastRenderedPageBreak/>
              <w:t>Kruispuntbank</w:t>
            </w:r>
            <w:r>
              <w:rPr>
                <w:b/>
                <w:color w:val="0900B6"/>
                <w:sz w:val="14"/>
              </w:rPr>
              <w:tab/>
              <w:t>van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10"/>
                <w:sz w:val="14"/>
              </w:rPr>
              <w:t xml:space="preserve">de </w:t>
            </w:r>
            <w:r>
              <w:rPr>
                <w:b/>
                <w:color w:val="0900B6"/>
                <w:sz w:val="14"/>
              </w:rPr>
              <w:t>Sociale Zekerheid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5"/>
              <w:ind w:left="112"/>
              <w:rPr>
                <w:sz w:val="14"/>
              </w:rPr>
            </w:pPr>
            <w:r>
              <w:rPr>
                <w:color w:val="0900B6"/>
                <w:sz w:val="14"/>
              </w:rPr>
              <w:t>Kruispuntbank van de Sociale Zekerheid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Sociale Zekerheid)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Toekenning van afwijkingen op de naleving van de voorwaarden met betrekking tot de toegang van voertuigen in de lage-emissiezone (LEZ)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right="103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 15 december 2016 betreffende de oprichting van de Gewestelijke Overheidsdienst Brussel Fiscaliteit (artikel 2, 12°)</w:t>
            </w:r>
          </w:p>
          <w:p w:rsidR="00CC2BE3" w:rsidRPr="00F5740D" w:rsidRDefault="00CC2BE3" w:rsidP="00CC2BE3">
            <w:pPr>
              <w:pStyle w:val="TableParagraph"/>
              <w:spacing w:before="75"/>
              <w:ind w:right="106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Brussels Wetboek van Lucht, Klimaat en Energiebeheersing, artikelen 3.2.16 tot en met 3.2.27</w:t>
            </w:r>
          </w:p>
          <w:p w:rsidR="00CC2BE3" w:rsidRDefault="00CC2BE3" w:rsidP="00CC2BE3">
            <w:pPr>
              <w:pStyle w:val="TableParagraph"/>
              <w:spacing w:before="75"/>
              <w:ind w:right="103"/>
              <w:jc w:val="both"/>
              <w:rPr>
                <w:sz w:val="14"/>
              </w:rPr>
            </w:pPr>
            <w:r w:rsidRPr="00F5740D">
              <w:rPr>
                <w:color w:val="FF0000"/>
                <w:sz w:val="14"/>
              </w:rPr>
              <w:t>Besluit van de Brusselse Hoofdstedelijke Regering van 25 januari 2018 betreffende het instellen van een lage-emissiezone, artikel 17, 2°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de gegevens van de Kruispuntbank van de Soc</w:t>
            </w:r>
            <w:r>
              <w:rPr>
                <w:color w:val="0900B6"/>
                <w:sz w:val="14"/>
              </w:rPr>
              <w:t>iale Zekerheid om de personen te identificeren die in aanmerking komen voor een afwijking omwille van hun handicap en hen deze afwijking toe te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kennen.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5" w:line="480" w:lineRule="auto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Identificatiegegevens </w:t>
            </w:r>
            <w:r>
              <w:rPr>
                <w:color w:val="0900B6"/>
                <w:sz w:val="14"/>
              </w:rPr>
              <w:t>Gezondheidsgegevens</w:t>
            </w:r>
            <w:r w:rsidR="00CC2BE3">
              <w:rPr>
                <w:color w:val="0900B6"/>
                <w:sz w:val="14"/>
              </w:rPr>
              <w:t xml:space="preserve"> </w:t>
            </w:r>
            <w:r w:rsidR="00CC2BE3" w:rsidRPr="00CC2BE3">
              <w:rPr>
                <w:color w:val="FF0000"/>
                <w:sz w:val="14"/>
              </w:rPr>
              <w:t>(houder van de speciale parkeerkaart voor gehandicapten</w:t>
            </w:r>
            <w:r w:rsidR="00CC2BE3">
              <w:rPr>
                <w:color w:val="0900B6"/>
                <w:sz w:val="14"/>
              </w:rPr>
              <w:t xml:space="preserve">) 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5"/>
              <w:ind w:left="113" w:right="106"/>
              <w:rPr>
                <w:sz w:val="14"/>
              </w:rPr>
            </w:pPr>
            <w:r>
              <w:rPr>
                <w:color w:val="0900B6"/>
                <w:sz w:val="14"/>
              </w:rPr>
              <w:t>KSZ-beslui</w:t>
            </w:r>
            <w:r>
              <w:rPr>
                <w:color w:val="0900B6"/>
                <w:sz w:val="14"/>
              </w:rPr>
              <w:t>t nr. 18/027 van 6 maart 2018.</w:t>
            </w:r>
          </w:p>
        </w:tc>
      </w:tr>
      <w:tr w:rsidR="008E2359">
        <w:trPr>
          <w:trHeight w:val="493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642"/>
              </w:tabs>
              <w:spacing w:before="80"/>
              <w:ind w:left="115" w:right="102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t>Gegevens van de Dienst voor Inschrijvingen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6"/>
                <w:sz w:val="14"/>
              </w:rPr>
              <w:t>van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/>
              <w:ind w:left="112" w:right="94"/>
              <w:rPr>
                <w:sz w:val="14"/>
              </w:rPr>
            </w:pPr>
            <w:r>
              <w:rPr>
                <w:color w:val="0900B6"/>
                <w:sz w:val="14"/>
              </w:rPr>
              <w:t>Dienst voor Inschrijvingen van Voertuigen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1143"/>
                <w:tab w:val="left" w:pos="1723"/>
              </w:tabs>
              <w:spacing w:before="78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>Vestiging, controle, inning en invordering</w:t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>de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6"/>
              <w:rPr>
                <w:sz w:val="14"/>
              </w:rPr>
            </w:pPr>
            <w:r>
              <w:rPr>
                <w:color w:val="0900B6"/>
                <w:sz w:val="14"/>
              </w:rPr>
              <w:t>Besluit van de Brusselse Hoofdstedelijke Regering van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6"/>
              <w:rPr>
                <w:sz w:val="14"/>
              </w:rPr>
            </w:pPr>
            <w:r>
              <w:rPr>
                <w:color w:val="0900B6"/>
                <w:sz w:val="14"/>
              </w:rPr>
              <w:t>Brussel Fiscaliteit raadpleegt en gebruikt gegevens van de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left="113" w:right="106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>Beraadslaging FO nr. 03/2016 van 21 januari 2016</w:t>
            </w:r>
          </w:p>
          <w:p w:rsidR="004F6D82" w:rsidRPr="002C5333" w:rsidRDefault="002C5333" w:rsidP="002C5333">
            <w:pPr>
              <w:pStyle w:val="TableParagraph"/>
              <w:spacing w:before="78"/>
              <w:ind w:left="113" w:right="106"/>
              <w:rPr>
                <w:color w:val="FF0000"/>
                <w:sz w:val="14"/>
              </w:rPr>
            </w:pPr>
            <w:r w:rsidRPr="002C5333">
              <w:rPr>
                <w:color w:val="FF0000"/>
                <w:sz w:val="14"/>
              </w:rPr>
              <w:t>Kaderprotocol inzake gegevensverwerking in de zin van artikel 20 van de wet van 30 juli 2018 betreffende de bescherming van natuurlijke personen met betrekking tot de verwerking van persoonsgegevens</w:t>
            </w:r>
            <w:r w:rsidRPr="002C5333">
              <w:rPr>
                <w:color w:val="FF0000"/>
                <w:sz w:val="14"/>
              </w:rPr>
              <w:t xml:space="preserve"> </w:t>
            </w:r>
            <w:r w:rsidRPr="002C5333">
              <w:rPr>
                <w:color w:val="FF0000"/>
                <w:sz w:val="14"/>
              </w:rPr>
              <w:t>tussen de Gewestelijke Overheidsdienst Brussel Fiscaliteit en het Directoraat-generaal Wegvervoer en Verkeersveiligheid behorende tot de Federale Overheidsdienst Mobiliteit en Vervoer</w:t>
            </w:r>
            <w:r w:rsidRPr="002C5333">
              <w:rPr>
                <w:color w:val="FF0000"/>
                <w:sz w:val="14"/>
              </w:rPr>
              <w:t>, vastgesteld op 17/12/2019</w:t>
            </w:r>
          </w:p>
        </w:tc>
      </w:tr>
    </w:tbl>
    <w:p w:rsidR="008E2359" w:rsidRDefault="008E2359">
      <w:pPr>
        <w:rPr>
          <w:sz w:val="14"/>
        </w:rPr>
        <w:sectPr w:rsidR="008E2359">
          <w:pgSz w:w="16850" w:h="11910" w:orient="landscape"/>
          <w:pgMar w:top="1540" w:right="1320" w:bottom="700" w:left="1480" w:header="574" w:footer="51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900B6"/>
          <w:left w:val="single" w:sz="4" w:space="0" w:color="0900B6"/>
          <w:bottom w:val="single" w:sz="4" w:space="0" w:color="0900B6"/>
          <w:right w:val="single" w:sz="4" w:space="0" w:color="0900B6"/>
          <w:insideH w:val="single" w:sz="4" w:space="0" w:color="0900B6"/>
          <w:insideV w:val="single" w:sz="4" w:space="0" w:color="0900B6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74"/>
        <w:gridCol w:w="1973"/>
        <w:gridCol w:w="1973"/>
        <w:gridCol w:w="1973"/>
        <w:gridCol w:w="1974"/>
        <w:gridCol w:w="1973"/>
      </w:tblGrid>
      <w:tr w:rsidR="008E2359">
        <w:trPr>
          <w:trHeight w:val="974"/>
        </w:trPr>
        <w:tc>
          <w:tcPr>
            <w:tcW w:w="1976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8"/>
              <w:ind w:left="115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lastRenderedPageBreak/>
              <w:t>Voertuigen</w:t>
            </w:r>
          </w:p>
        </w:tc>
        <w:tc>
          <w:tcPr>
            <w:tcW w:w="1974" w:type="dxa"/>
            <w:tcBorders>
              <w:top w:val="nil"/>
            </w:tcBorders>
          </w:tcPr>
          <w:p w:rsidR="008E2359" w:rsidRDefault="00826CCF">
            <w:pPr>
              <w:pStyle w:val="TableParagraph"/>
              <w:tabs>
                <w:tab w:val="left" w:pos="946"/>
              </w:tabs>
              <w:spacing w:before="75"/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Mobiliteit en</w:t>
            </w:r>
            <w:r>
              <w:rPr>
                <w:color w:val="0900B6"/>
                <w:spacing w:val="-4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Vervoer)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/>
              <w:ind w:right="107"/>
              <w:rPr>
                <w:sz w:val="14"/>
              </w:rPr>
            </w:pPr>
            <w:r>
              <w:rPr>
                <w:color w:val="0900B6"/>
                <w:sz w:val="14"/>
              </w:rPr>
              <w:t>gewestbelastingen verschuldigd aan het Brussels Hoofdstedelijk Gewest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/>
              <w:ind w:right="106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 xml:space="preserve">15 december 2016 betreffende de oprichting van </w:t>
            </w:r>
            <w:r>
              <w:rPr>
                <w:color w:val="0900B6"/>
                <w:spacing w:val="-6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Gewestelijke Overheidsdienst Brussel Fiscaliteit (artikel 2, 1° en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2°)</w:t>
            </w:r>
          </w:p>
          <w:p w:rsidR="004F6D82" w:rsidRPr="002C5333" w:rsidRDefault="004F6D82" w:rsidP="004F6D82">
            <w:pPr>
              <w:pStyle w:val="TableParagraph"/>
              <w:numPr>
                <w:ilvl w:val="0"/>
                <w:numId w:val="4"/>
              </w:numPr>
              <w:spacing w:before="75"/>
              <w:ind w:right="106"/>
              <w:jc w:val="both"/>
              <w:rPr>
                <w:color w:val="FF0000"/>
                <w:sz w:val="14"/>
              </w:rPr>
            </w:pPr>
            <w:r w:rsidRPr="002C5333">
              <w:rPr>
                <w:color w:val="FF0000"/>
                <w:sz w:val="14"/>
              </w:rPr>
              <w:t xml:space="preserve">Ordonnantie </w:t>
            </w:r>
            <w:r w:rsidRPr="002C5333">
              <w:rPr>
                <w:color w:val="FF0000"/>
                <w:sz w:val="14"/>
              </w:rPr>
              <w:t xml:space="preserve">van 29 juli 2015 </w:t>
            </w:r>
            <w:r w:rsidRPr="002C5333">
              <w:rPr>
                <w:color w:val="FF0000"/>
                <w:sz w:val="14"/>
              </w:rPr>
              <w:t>tot invoering van een kilometerheffing in het Brussels Hoofdstedelijk Gewest voor zware voertuigen bedoeld of gebruikt voor het vervoer van goederen over de weg, ter vervanging van het Eurovignet</w:t>
            </w:r>
          </w:p>
          <w:p w:rsidR="004F6D82" w:rsidRPr="004F6D82" w:rsidRDefault="004F6D82" w:rsidP="004F6D82">
            <w:pPr>
              <w:pStyle w:val="TableParagraph"/>
              <w:numPr>
                <w:ilvl w:val="0"/>
                <w:numId w:val="4"/>
              </w:numPr>
              <w:spacing w:before="75"/>
              <w:ind w:right="106"/>
              <w:jc w:val="both"/>
              <w:rPr>
                <w:color w:val="FF0000"/>
                <w:sz w:val="14"/>
              </w:rPr>
            </w:pPr>
            <w:r w:rsidRPr="004F6D82">
              <w:rPr>
                <w:color w:val="FF0000"/>
                <w:sz w:val="14"/>
              </w:rPr>
              <w:t>Wetboek van de met de inkomstenbelastingen gelijkgestelde belastingen, artikelen 3 tot en met 42</w:t>
            </w:r>
          </w:p>
          <w:p w:rsidR="004F6D82" w:rsidRPr="002C5333" w:rsidRDefault="004F6D82" w:rsidP="002C5333">
            <w:pPr>
              <w:pStyle w:val="Paragraphedeliste"/>
              <w:numPr>
                <w:ilvl w:val="0"/>
                <w:numId w:val="4"/>
              </w:numPr>
              <w:rPr>
                <w:color w:val="FF0000"/>
                <w:sz w:val="14"/>
              </w:rPr>
            </w:pPr>
            <w:r w:rsidRPr="004F6D82">
              <w:rPr>
                <w:color w:val="FF0000"/>
                <w:sz w:val="14"/>
              </w:rPr>
              <w:t xml:space="preserve">Wetboek van de met de inkomstenbelastingen gelijkgestelde belastingen, artikelen </w:t>
            </w:r>
            <w:r w:rsidRPr="004F6D82">
              <w:rPr>
                <w:color w:val="FF0000"/>
                <w:sz w:val="14"/>
              </w:rPr>
              <w:t>94 tot en met 107</w:t>
            </w:r>
          </w:p>
        </w:tc>
        <w:tc>
          <w:tcPr>
            <w:tcW w:w="1973" w:type="dxa"/>
            <w:tcBorders>
              <w:top w:val="nil"/>
            </w:tcBorders>
          </w:tcPr>
          <w:p w:rsidR="008E2359" w:rsidRDefault="00826CCF">
            <w:pPr>
              <w:pStyle w:val="TableParagraph"/>
              <w:spacing w:before="75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D</w:t>
            </w:r>
            <w:r>
              <w:rPr>
                <w:color w:val="0900B6"/>
                <w:sz w:val="14"/>
              </w:rPr>
              <w:t>ienst voor Inschrijvingen</w:t>
            </w:r>
            <w:r>
              <w:rPr>
                <w:color w:val="0900B6"/>
                <w:sz w:val="14"/>
              </w:rPr>
              <w:t xml:space="preserve"> van Voertuigen voor de volgende gewestbelastingen:</w:t>
            </w:r>
          </w:p>
          <w:p w:rsidR="008E2359" w:rsidRPr="004F6D82" w:rsidRDefault="00826CCF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5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de kilometerheffing</w:t>
            </w:r>
          </w:p>
          <w:p w:rsidR="004F6D82" w:rsidRPr="004F6D82" w:rsidRDefault="004F6D82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5"/>
              <w:jc w:val="both"/>
              <w:rPr>
                <w:color w:val="FF0000"/>
                <w:sz w:val="14"/>
              </w:rPr>
            </w:pPr>
            <w:r w:rsidRPr="004F6D82">
              <w:rPr>
                <w:color w:val="FF0000"/>
                <w:sz w:val="14"/>
              </w:rPr>
              <w:t>de verkeersbelasting op de autovoertuigen</w:t>
            </w:r>
          </w:p>
          <w:p w:rsidR="004F6D82" w:rsidRDefault="004F6D82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5"/>
              <w:jc w:val="both"/>
              <w:rPr>
                <w:sz w:val="14"/>
              </w:rPr>
            </w:pPr>
            <w:r w:rsidRPr="004F6D82">
              <w:rPr>
                <w:color w:val="FF0000"/>
                <w:sz w:val="14"/>
              </w:rPr>
              <w:t>de belasting op de inverkeerstelling</w:t>
            </w:r>
          </w:p>
        </w:tc>
        <w:tc>
          <w:tcPr>
            <w:tcW w:w="1974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8E2359" w:rsidRDefault="008E2359">
            <w:pPr>
              <w:pStyle w:val="TableParagraph"/>
              <w:ind w:left="0"/>
              <w:rPr>
                <w:sz w:val="12"/>
              </w:rPr>
            </w:pPr>
          </w:p>
        </w:tc>
      </w:tr>
      <w:tr w:rsidR="008E2359">
        <w:trPr>
          <w:trHeight w:val="4356"/>
        </w:trPr>
        <w:tc>
          <w:tcPr>
            <w:tcW w:w="1976" w:type="dxa"/>
          </w:tcPr>
          <w:p w:rsidR="008E2359" w:rsidRDefault="00826CCF">
            <w:pPr>
              <w:pStyle w:val="TableParagraph"/>
              <w:tabs>
                <w:tab w:val="left" w:pos="1642"/>
              </w:tabs>
              <w:spacing w:before="80"/>
              <w:ind w:left="115" w:right="102"/>
              <w:jc w:val="both"/>
              <w:rPr>
                <w:b/>
                <w:sz w:val="14"/>
              </w:rPr>
            </w:pPr>
            <w:r>
              <w:rPr>
                <w:b/>
                <w:color w:val="0900B6"/>
                <w:sz w:val="14"/>
              </w:rPr>
              <w:lastRenderedPageBreak/>
              <w:t>Gegevens van de Dienst voor Inschrijvingen</w:t>
            </w:r>
            <w:r>
              <w:rPr>
                <w:b/>
                <w:color w:val="0900B6"/>
                <w:sz w:val="14"/>
              </w:rPr>
              <w:tab/>
            </w:r>
            <w:r>
              <w:rPr>
                <w:b/>
                <w:color w:val="0900B6"/>
                <w:spacing w:val="-6"/>
                <w:sz w:val="14"/>
              </w:rPr>
              <w:t xml:space="preserve">van </w:t>
            </w:r>
            <w:r>
              <w:rPr>
                <w:b/>
                <w:color w:val="0900B6"/>
                <w:sz w:val="14"/>
              </w:rPr>
              <w:t>Voertuigen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/>
              <w:ind w:left="112" w:right="94"/>
              <w:rPr>
                <w:sz w:val="14"/>
              </w:rPr>
            </w:pPr>
            <w:r>
              <w:rPr>
                <w:color w:val="0900B6"/>
                <w:sz w:val="14"/>
              </w:rPr>
              <w:t>Dienst voor Inschrijvingen van Voertuigen</w:t>
            </w:r>
          </w:p>
          <w:p w:rsidR="008E2359" w:rsidRDefault="00826CCF">
            <w:pPr>
              <w:pStyle w:val="TableParagraph"/>
              <w:tabs>
                <w:tab w:val="left" w:pos="946"/>
              </w:tabs>
              <w:ind w:left="112" w:right="106"/>
              <w:rPr>
                <w:sz w:val="14"/>
              </w:rPr>
            </w:pPr>
            <w:r>
              <w:rPr>
                <w:color w:val="0900B6"/>
                <w:sz w:val="14"/>
              </w:rPr>
              <w:t>(Federale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w w:val="95"/>
                <w:sz w:val="14"/>
              </w:rPr>
              <w:t xml:space="preserve">Overheidsdienst </w:t>
            </w:r>
            <w:r>
              <w:rPr>
                <w:color w:val="0900B6"/>
                <w:sz w:val="14"/>
              </w:rPr>
              <w:t>Mobiliteit en</w:t>
            </w:r>
            <w:r>
              <w:rPr>
                <w:color w:val="0900B6"/>
                <w:spacing w:val="-4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Vervoer)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3"/>
              <w:jc w:val="both"/>
              <w:rPr>
                <w:sz w:val="14"/>
              </w:rPr>
            </w:pPr>
            <w:r>
              <w:rPr>
                <w:color w:val="0900B6"/>
                <w:sz w:val="14"/>
              </w:rPr>
              <w:t>Behandeling van inbreuken en oplegging van boetes in geval van niet-naleving van de wettelijke bepalingen met betrekking tot de Lage- Emissiezone (LEZ)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right="103"/>
              <w:jc w:val="both"/>
              <w:rPr>
                <w:color w:val="0900B6"/>
                <w:sz w:val="14"/>
              </w:rPr>
            </w:pPr>
            <w:r>
              <w:rPr>
                <w:color w:val="0900B6"/>
                <w:sz w:val="14"/>
              </w:rPr>
              <w:t xml:space="preserve">Besluit van de Brusselse Hoofdstedelijke Regering van 15 december 2016 betreffende de oprichting van de </w:t>
            </w:r>
            <w:r>
              <w:rPr>
                <w:color w:val="0900B6"/>
                <w:sz w:val="14"/>
              </w:rPr>
              <w:t>Gewestelijke Overheidsdienst Brussel Fiscaliteit (artikel 2, 12°)</w:t>
            </w:r>
          </w:p>
          <w:p w:rsidR="002C5333" w:rsidRPr="00F5740D" w:rsidRDefault="002C5333" w:rsidP="002C5333">
            <w:pPr>
              <w:pStyle w:val="TableParagraph"/>
              <w:spacing w:before="75"/>
              <w:ind w:right="106"/>
              <w:jc w:val="both"/>
              <w:rPr>
                <w:color w:val="FF0000"/>
                <w:sz w:val="14"/>
              </w:rPr>
            </w:pPr>
            <w:r w:rsidRPr="00F5740D">
              <w:rPr>
                <w:color w:val="FF0000"/>
                <w:sz w:val="14"/>
              </w:rPr>
              <w:t>Brussels Wetboek van Lucht, Klimaat en Energiebeheersing, artikelen 3.2.16 tot en met 3.2.27</w:t>
            </w:r>
          </w:p>
          <w:p w:rsidR="002C5333" w:rsidRDefault="002C5333" w:rsidP="002C5333">
            <w:pPr>
              <w:pStyle w:val="TableParagraph"/>
              <w:spacing w:before="78"/>
              <w:ind w:right="103"/>
              <w:jc w:val="both"/>
              <w:rPr>
                <w:sz w:val="14"/>
              </w:rPr>
            </w:pPr>
            <w:r w:rsidRPr="00F5740D">
              <w:rPr>
                <w:color w:val="FF0000"/>
                <w:sz w:val="14"/>
              </w:rPr>
              <w:t xml:space="preserve">Besluit van de Brusselse Hoofdstedelijke Regering van 25 januari 2018 betreffende het instellen van een lage-emissiezone, artikel </w:t>
            </w:r>
            <w:r w:rsidR="00657350">
              <w:rPr>
                <w:color w:val="FF0000"/>
                <w:sz w:val="14"/>
              </w:rPr>
              <w:t>5</w:t>
            </w:r>
            <w:bookmarkStart w:id="1" w:name="_GoBack"/>
            <w:bookmarkEnd w:id="1"/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tabs>
                <w:tab w:val="left" w:pos="934"/>
                <w:tab w:val="left" w:pos="981"/>
                <w:tab w:val="left" w:pos="1143"/>
                <w:tab w:val="left" w:pos="1382"/>
                <w:tab w:val="left" w:pos="1437"/>
                <w:tab w:val="left" w:pos="1552"/>
                <w:tab w:val="left" w:pos="1723"/>
              </w:tabs>
              <w:spacing w:before="78"/>
              <w:ind w:right="103"/>
              <w:rPr>
                <w:sz w:val="14"/>
              </w:rPr>
            </w:pPr>
            <w:r>
              <w:rPr>
                <w:color w:val="0900B6"/>
                <w:sz w:val="14"/>
              </w:rPr>
              <w:t xml:space="preserve">Brussel Fiscaliteit raadpleegt en gebruikt de gegevens van de Dienst voor Inschrijvingen van Voertuigen om vast te stellen of voertuigen die de lage-emissiezone binnenkomen, voldoen aan de toegangsvoorwaarden van de </w:t>
            </w:r>
            <w:r w:rsidR="002C5333" w:rsidRPr="002C5333">
              <w:rPr>
                <w:color w:val="FF0000"/>
                <w:sz w:val="14"/>
              </w:rPr>
              <w:t>regelgeving</w:t>
            </w:r>
            <w:r>
              <w:rPr>
                <w:color w:val="0900B6"/>
                <w:sz w:val="14"/>
              </w:rPr>
              <w:t>. In geval van inbreuken op voormelde bepalingen,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  <w:t>stelt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3"/>
                <w:sz w:val="14"/>
              </w:rPr>
              <w:t xml:space="preserve">Brussel </w:t>
            </w:r>
            <w:r>
              <w:rPr>
                <w:color w:val="0900B6"/>
                <w:sz w:val="14"/>
              </w:rPr>
              <w:t xml:space="preserve">Fiscaliteit de inbreuk vast en wordt de overtreder </w:t>
            </w:r>
            <w:r>
              <w:rPr>
                <w:color w:val="0900B6"/>
                <w:spacing w:val="-4"/>
                <w:sz w:val="14"/>
              </w:rPr>
              <w:t xml:space="preserve">een </w:t>
            </w:r>
            <w:r>
              <w:rPr>
                <w:color w:val="0900B6"/>
                <w:sz w:val="14"/>
              </w:rPr>
              <w:t>administratieve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3"/>
                <w:sz w:val="14"/>
              </w:rPr>
              <w:t>boete</w:t>
            </w:r>
            <w:r>
              <w:rPr>
                <w:color w:val="0900B6"/>
                <w:spacing w:val="-3"/>
                <w:sz w:val="14"/>
              </w:rPr>
              <w:t xml:space="preserve"> </w:t>
            </w:r>
            <w:r>
              <w:rPr>
                <w:color w:val="0900B6"/>
                <w:sz w:val="14"/>
              </w:rPr>
              <w:t>opgelegd. Brussel Fiscaliteit gaat, in voorkomend geval, ook over tot de gedwongen invordering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  <w:t>van</w:t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z w:val="14"/>
              </w:rPr>
              <w:tab/>
            </w:r>
            <w:r>
              <w:rPr>
                <w:color w:val="0900B6"/>
                <w:spacing w:val="-8"/>
                <w:sz w:val="14"/>
              </w:rPr>
              <w:t xml:space="preserve">de </w:t>
            </w:r>
            <w:r>
              <w:rPr>
                <w:color w:val="0900B6"/>
                <w:sz w:val="14"/>
              </w:rPr>
              <w:t>verschuldigde bedragen die niet door de overtreder zijn betaald.</w:t>
            </w:r>
          </w:p>
        </w:tc>
        <w:tc>
          <w:tcPr>
            <w:tcW w:w="1974" w:type="dxa"/>
          </w:tcPr>
          <w:p w:rsidR="008E2359" w:rsidRDefault="00826CCF">
            <w:pPr>
              <w:pStyle w:val="TableParagraph"/>
              <w:spacing w:before="78"/>
              <w:ind w:left="113"/>
              <w:rPr>
                <w:sz w:val="14"/>
              </w:rPr>
            </w:pPr>
            <w:r>
              <w:rPr>
                <w:color w:val="0900B6"/>
                <w:sz w:val="14"/>
              </w:rPr>
              <w:t>Identificatiegegevens</w:t>
            </w:r>
          </w:p>
        </w:tc>
        <w:tc>
          <w:tcPr>
            <w:tcW w:w="1973" w:type="dxa"/>
          </w:tcPr>
          <w:p w:rsidR="008E2359" w:rsidRDefault="00826CCF">
            <w:pPr>
              <w:pStyle w:val="TableParagraph"/>
              <w:spacing w:before="78"/>
              <w:ind w:left="113" w:right="103"/>
              <w:rPr>
                <w:sz w:val="14"/>
              </w:rPr>
            </w:pPr>
            <w:r>
              <w:rPr>
                <w:color w:val="0900B6"/>
                <w:sz w:val="14"/>
              </w:rPr>
              <w:t>Beraadslaging FO nr. 08/2018 van donderdag 8 februari 2018</w:t>
            </w:r>
          </w:p>
        </w:tc>
      </w:tr>
    </w:tbl>
    <w:p w:rsidR="00826CCF" w:rsidRDefault="00826CCF"/>
    <w:sectPr w:rsidR="00826CCF">
      <w:pgSz w:w="16850" w:h="11910" w:orient="landscape"/>
      <w:pgMar w:top="1540" w:right="1320" w:bottom="700" w:left="1480" w:header="574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CCF" w:rsidRDefault="00826CCF">
      <w:r>
        <w:separator/>
      </w:r>
    </w:p>
  </w:endnote>
  <w:endnote w:type="continuationSeparator" w:id="0">
    <w:p w:rsidR="00826CCF" w:rsidRDefault="0082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59" w:rsidRDefault="00826CC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54.4pt;width:42.1pt;height:11pt;z-index:-15982592;mso-position-horizontal-relative:page;mso-position-vertical-relative:page" filled="f" stroked="f">
          <v:textbox inset="0,0,0,0">
            <w:txbxContent>
              <w:p w:rsidR="008E2359" w:rsidRDefault="00826CCF">
                <w:pPr>
                  <w:pStyle w:val="Corpsdetexte"/>
                  <w:spacing w:before="15"/>
                  <w:ind w:left="20"/>
                </w:pPr>
                <w:r>
                  <w:rPr>
                    <w:color w:val="0900B6"/>
                  </w:rPr>
                  <w:t>22/02/2019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95.7pt;margin-top:554.4pt;width:64.5pt;height:11pt;z-index:-15982080;mso-position-horizontal-relative:page;mso-position-vertical-relative:page" filled="f" stroked="f">
          <v:textbox inset="0,0,0,0">
            <w:txbxContent>
              <w:p w:rsidR="008E2359" w:rsidRDefault="00826CCF">
                <w:pPr>
                  <w:pStyle w:val="Corpsdetexte"/>
                  <w:spacing w:before="15"/>
                  <w:ind w:left="20"/>
                </w:pPr>
                <w:r>
                  <w:rPr>
                    <w:color w:val="0900B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color w:val="0900B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0900B6"/>
                  </w:rPr>
                  <w:t xml:space="preserve"> VAN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CCF" w:rsidRDefault="00826CCF">
      <w:r>
        <w:separator/>
      </w:r>
    </w:p>
  </w:footnote>
  <w:footnote w:type="continuationSeparator" w:id="0">
    <w:p w:rsidR="00826CCF" w:rsidRDefault="0082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59" w:rsidRDefault="00826CCF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376" behindDoc="1" locked="0" layoutInCell="1" allowOverlap="1">
          <wp:simplePos x="0" y="0"/>
          <wp:positionH relativeFrom="page">
            <wp:posOffset>241934</wp:posOffset>
          </wp:positionH>
          <wp:positionV relativeFrom="page">
            <wp:posOffset>364290</wp:posOffset>
          </wp:positionV>
          <wp:extent cx="2296007" cy="6333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6007" cy="63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61C"/>
    <w:multiLevelType w:val="hybridMultilevel"/>
    <w:tmpl w:val="B0AE6FE4"/>
    <w:lvl w:ilvl="0" w:tplc="FC1C626C">
      <w:numFmt w:val="bullet"/>
      <w:lvlText w:val=""/>
      <w:lvlJc w:val="left"/>
      <w:pPr>
        <w:ind w:left="298" w:hanging="142"/>
      </w:pPr>
      <w:rPr>
        <w:rFonts w:ascii="Symbol" w:eastAsia="Symbol" w:hAnsi="Symbol" w:cs="Symbol" w:hint="default"/>
        <w:color w:val="FFBE01"/>
        <w:w w:val="99"/>
        <w:sz w:val="14"/>
        <w:szCs w:val="14"/>
        <w:lang w:val="nl-NL" w:eastAsia="en-US" w:bidi="ar-SA"/>
      </w:rPr>
    </w:lvl>
    <w:lvl w:ilvl="1" w:tplc="28B4FA94">
      <w:numFmt w:val="bullet"/>
      <w:lvlText w:val="•"/>
      <w:lvlJc w:val="left"/>
      <w:pPr>
        <w:ind w:left="466" w:hanging="142"/>
      </w:pPr>
      <w:rPr>
        <w:rFonts w:hint="default"/>
        <w:lang w:val="nl-NL" w:eastAsia="en-US" w:bidi="ar-SA"/>
      </w:rPr>
    </w:lvl>
    <w:lvl w:ilvl="2" w:tplc="A5C0412C">
      <w:numFmt w:val="bullet"/>
      <w:lvlText w:val="•"/>
      <w:lvlJc w:val="left"/>
      <w:pPr>
        <w:ind w:left="632" w:hanging="142"/>
      </w:pPr>
      <w:rPr>
        <w:rFonts w:hint="default"/>
        <w:lang w:val="nl-NL" w:eastAsia="en-US" w:bidi="ar-SA"/>
      </w:rPr>
    </w:lvl>
    <w:lvl w:ilvl="3" w:tplc="B6D4652E">
      <w:numFmt w:val="bullet"/>
      <w:lvlText w:val="•"/>
      <w:lvlJc w:val="left"/>
      <w:pPr>
        <w:ind w:left="798" w:hanging="142"/>
      </w:pPr>
      <w:rPr>
        <w:rFonts w:hint="default"/>
        <w:lang w:val="nl-NL" w:eastAsia="en-US" w:bidi="ar-SA"/>
      </w:rPr>
    </w:lvl>
    <w:lvl w:ilvl="4" w:tplc="0584F746">
      <w:numFmt w:val="bullet"/>
      <w:lvlText w:val="•"/>
      <w:lvlJc w:val="left"/>
      <w:pPr>
        <w:ind w:left="965" w:hanging="142"/>
      </w:pPr>
      <w:rPr>
        <w:rFonts w:hint="default"/>
        <w:lang w:val="nl-NL" w:eastAsia="en-US" w:bidi="ar-SA"/>
      </w:rPr>
    </w:lvl>
    <w:lvl w:ilvl="5" w:tplc="EBB2BE4A">
      <w:numFmt w:val="bullet"/>
      <w:lvlText w:val="•"/>
      <w:lvlJc w:val="left"/>
      <w:pPr>
        <w:ind w:left="1131" w:hanging="142"/>
      </w:pPr>
      <w:rPr>
        <w:rFonts w:hint="default"/>
        <w:lang w:val="nl-NL" w:eastAsia="en-US" w:bidi="ar-SA"/>
      </w:rPr>
    </w:lvl>
    <w:lvl w:ilvl="6" w:tplc="CE2AD9FC">
      <w:numFmt w:val="bullet"/>
      <w:lvlText w:val="•"/>
      <w:lvlJc w:val="left"/>
      <w:pPr>
        <w:ind w:left="1297" w:hanging="142"/>
      </w:pPr>
      <w:rPr>
        <w:rFonts w:hint="default"/>
        <w:lang w:val="nl-NL" w:eastAsia="en-US" w:bidi="ar-SA"/>
      </w:rPr>
    </w:lvl>
    <w:lvl w:ilvl="7" w:tplc="142A148E">
      <w:numFmt w:val="bullet"/>
      <w:lvlText w:val="•"/>
      <w:lvlJc w:val="left"/>
      <w:pPr>
        <w:ind w:left="1464" w:hanging="142"/>
      </w:pPr>
      <w:rPr>
        <w:rFonts w:hint="default"/>
        <w:lang w:val="nl-NL" w:eastAsia="en-US" w:bidi="ar-SA"/>
      </w:rPr>
    </w:lvl>
    <w:lvl w:ilvl="8" w:tplc="F57C2E94">
      <w:numFmt w:val="bullet"/>
      <w:lvlText w:val="•"/>
      <w:lvlJc w:val="left"/>
      <w:pPr>
        <w:ind w:left="1630" w:hanging="142"/>
      </w:pPr>
      <w:rPr>
        <w:rFonts w:hint="default"/>
        <w:lang w:val="nl-NL" w:eastAsia="en-US" w:bidi="ar-SA"/>
      </w:rPr>
    </w:lvl>
  </w:abstractNum>
  <w:abstractNum w:abstractNumId="1" w15:restartNumberingAfterBreak="0">
    <w:nsid w:val="3066023B"/>
    <w:multiLevelType w:val="hybridMultilevel"/>
    <w:tmpl w:val="90AC9416"/>
    <w:lvl w:ilvl="0" w:tplc="8BBC1740">
      <w:numFmt w:val="bullet"/>
      <w:lvlText w:val=""/>
      <w:lvlJc w:val="left"/>
      <w:pPr>
        <w:ind w:left="157" w:hanging="142"/>
      </w:pPr>
      <w:rPr>
        <w:rFonts w:ascii="Symbol" w:eastAsia="Symbol" w:hAnsi="Symbol" w:cs="Symbol" w:hint="default"/>
        <w:color w:val="FFBE01"/>
        <w:w w:val="99"/>
        <w:sz w:val="14"/>
        <w:szCs w:val="14"/>
        <w:lang w:val="nl-NL" w:eastAsia="en-US" w:bidi="ar-SA"/>
      </w:rPr>
    </w:lvl>
    <w:lvl w:ilvl="1" w:tplc="4F062BE4">
      <w:numFmt w:val="bullet"/>
      <w:lvlText w:val="•"/>
      <w:lvlJc w:val="left"/>
      <w:pPr>
        <w:ind w:left="340" w:hanging="142"/>
      </w:pPr>
      <w:rPr>
        <w:rFonts w:hint="default"/>
        <w:lang w:val="nl-NL" w:eastAsia="en-US" w:bidi="ar-SA"/>
      </w:rPr>
    </w:lvl>
    <w:lvl w:ilvl="2" w:tplc="1166E754">
      <w:numFmt w:val="bullet"/>
      <w:lvlText w:val="•"/>
      <w:lvlJc w:val="left"/>
      <w:pPr>
        <w:ind w:left="520" w:hanging="142"/>
      </w:pPr>
      <w:rPr>
        <w:rFonts w:hint="default"/>
        <w:lang w:val="nl-NL" w:eastAsia="en-US" w:bidi="ar-SA"/>
      </w:rPr>
    </w:lvl>
    <w:lvl w:ilvl="3" w:tplc="0A908412">
      <w:numFmt w:val="bullet"/>
      <w:lvlText w:val="•"/>
      <w:lvlJc w:val="left"/>
      <w:pPr>
        <w:ind w:left="700" w:hanging="142"/>
      </w:pPr>
      <w:rPr>
        <w:rFonts w:hint="default"/>
        <w:lang w:val="nl-NL" w:eastAsia="en-US" w:bidi="ar-SA"/>
      </w:rPr>
    </w:lvl>
    <w:lvl w:ilvl="4" w:tplc="2E387408">
      <w:numFmt w:val="bullet"/>
      <w:lvlText w:val="•"/>
      <w:lvlJc w:val="left"/>
      <w:pPr>
        <w:ind w:left="881" w:hanging="142"/>
      </w:pPr>
      <w:rPr>
        <w:rFonts w:hint="default"/>
        <w:lang w:val="nl-NL" w:eastAsia="en-US" w:bidi="ar-SA"/>
      </w:rPr>
    </w:lvl>
    <w:lvl w:ilvl="5" w:tplc="BA96B034">
      <w:numFmt w:val="bullet"/>
      <w:lvlText w:val="•"/>
      <w:lvlJc w:val="left"/>
      <w:pPr>
        <w:ind w:left="1061" w:hanging="142"/>
      </w:pPr>
      <w:rPr>
        <w:rFonts w:hint="default"/>
        <w:lang w:val="nl-NL" w:eastAsia="en-US" w:bidi="ar-SA"/>
      </w:rPr>
    </w:lvl>
    <w:lvl w:ilvl="6" w:tplc="42BA3AA0">
      <w:numFmt w:val="bullet"/>
      <w:lvlText w:val="•"/>
      <w:lvlJc w:val="left"/>
      <w:pPr>
        <w:ind w:left="1241" w:hanging="142"/>
      </w:pPr>
      <w:rPr>
        <w:rFonts w:hint="default"/>
        <w:lang w:val="nl-NL" w:eastAsia="en-US" w:bidi="ar-SA"/>
      </w:rPr>
    </w:lvl>
    <w:lvl w:ilvl="7" w:tplc="619284E4">
      <w:numFmt w:val="bullet"/>
      <w:lvlText w:val="•"/>
      <w:lvlJc w:val="left"/>
      <w:pPr>
        <w:ind w:left="1422" w:hanging="142"/>
      </w:pPr>
      <w:rPr>
        <w:rFonts w:hint="default"/>
        <w:lang w:val="nl-NL" w:eastAsia="en-US" w:bidi="ar-SA"/>
      </w:rPr>
    </w:lvl>
    <w:lvl w:ilvl="8" w:tplc="8A78AF92">
      <w:numFmt w:val="bullet"/>
      <w:lvlText w:val="•"/>
      <w:lvlJc w:val="left"/>
      <w:pPr>
        <w:ind w:left="1602" w:hanging="142"/>
      </w:pPr>
      <w:rPr>
        <w:rFonts w:hint="default"/>
        <w:lang w:val="nl-NL" w:eastAsia="en-US" w:bidi="ar-SA"/>
      </w:rPr>
    </w:lvl>
  </w:abstractNum>
  <w:abstractNum w:abstractNumId="2" w15:restartNumberingAfterBreak="0">
    <w:nsid w:val="5A385B8B"/>
    <w:multiLevelType w:val="hybridMultilevel"/>
    <w:tmpl w:val="AE2EA5FE"/>
    <w:lvl w:ilvl="0" w:tplc="FC1C62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FFBE01"/>
        <w:w w:val="99"/>
        <w:sz w:val="14"/>
        <w:szCs w:val="14"/>
        <w:lang w:val="nl-NL" w:eastAsia="en-US" w:bidi="ar-SA"/>
      </w:rPr>
    </w:lvl>
    <w:lvl w:ilvl="1" w:tplc="08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4E75050"/>
    <w:multiLevelType w:val="hybridMultilevel"/>
    <w:tmpl w:val="9C804932"/>
    <w:lvl w:ilvl="0" w:tplc="FC1C62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FFBE01"/>
        <w:w w:val="99"/>
        <w:sz w:val="14"/>
        <w:szCs w:val="14"/>
        <w:lang w:val="nl-NL" w:eastAsia="en-US" w:bidi="ar-SA"/>
      </w:rPr>
    </w:lvl>
    <w:lvl w:ilvl="1" w:tplc="08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359"/>
    <w:rsid w:val="002C5333"/>
    <w:rsid w:val="004F6D82"/>
    <w:rsid w:val="00657350"/>
    <w:rsid w:val="00826CCF"/>
    <w:rsid w:val="008C0412"/>
    <w:rsid w:val="008E2359"/>
    <w:rsid w:val="00CC2BE3"/>
    <w:rsid w:val="00F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9FDD2E"/>
  <w15:docId w15:val="{D7735956-CED1-4FF3-9F75-4DA08AE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53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333"/>
    <w:rPr>
      <w:rFonts w:ascii="Segoe UI" w:eastAsia="Times New Roman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Bragard</dc:creator>
  <cp:lastModifiedBy>Denuit Cédric</cp:lastModifiedBy>
  <cp:revision>3</cp:revision>
  <dcterms:created xsi:type="dcterms:W3CDTF">2020-02-28T07:54:00Z</dcterms:created>
  <dcterms:modified xsi:type="dcterms:W3CDTF">2020-02-28T07:55:00Z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2020-02-27T00:00:00Z</vt:filetime>
  </property>
</Properties>
</file>